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A8DE7">
      <w:pPr>
        <w:snapToGrid w:val="0"/>
        <w:spacing w:line="360" w:lineRule="auto"/>
        <w:jc w:val="center"/>
        <w:rPr>
          <w:rFonts w:ascii="宋体" w:hAnsi="宋体" w:cs="宋体"/>
          <w:b/>
          <w:sz w:val="36"/>
          <w:szCs w:val="36"/>
          <w:lang w:eastAsia="zh-Hans"/>
        </w:rPr>
      </w:pPr>
      <w:r>
        <w:rPr>
          <w:rFonts w:hint="eastAsia" w:ascii="宋体" w:hAnsi="宋体" w:cs="宋体"/>
          <w:b/>
          <w:sz w:val="36"/>
          <w:szCs w:val="36"/>
          <w:lang w:val="en-US" w:eastAsia="zh-CN"/>
        </w:rPr>
        <w:t>单片机技术及应用实验室设备更新项目邀</w:t>
      </w:r>
      <w:r>
        <w:rPr>
          <w:rFonts w:hint="eastAsia" w:ascii="宋体" w:hAnsi="宋体" w:cs="宋体"/>
          <w:b/>
          <w:sz w:val="36"/>
          <w:szCs w:val="36"/>
        </w:rPr>
        <w:t>标公告</w:t>
      </w:r>
    </w:p>
    <w:p w14:paraId="00365DCE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28"/>
          <w:szCs w:val="28"/>
          <w:lang w:val="en-US" w:eastAsia="zh-CN"/>
        </w:rPr>
        <w:t>项目编号：WCLG202601292850027</w:t>
      </w:r>
    </w:p>
    <w:p w14:paraId="2C85A994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0"/>
          <w:sz w:val="28"/>
          <w:szCs w:val="28"/>
          <w:lang w:val="en-US" w:eastAsia="zh-CN"/>
        </w:rPr>
        <w:t>武昌理工学院现就本校单片机技术及应用实验室设备更新项目以</w:t>
      </w:r>
      <w:r>
        <w:rPr>
          <w:rFonts w:hint="default" w:ascii="宋体" w:hAnsi="宋体" w:eastAsia="宋体" w:cs="宋体"/>
          <w:color w:val="auto"/>
          <w:spacing w:val="0"/>
          <w:sz w:val="28"/>
          <w:szCs w:val="28"/>
          <w:lang w:val="en-US" w:eastAsia="zh-CN"/>
        </w:rPr>
        <w:t>邀请招标方式组织采购，特邀请符合本项目资质要求的供应商参与投标。现将项目相关事宜公告如下，本公告为通用版要求，无指定性技术指向，确保各供应商公平参与。</w:t>
      </w:r>
    </w:p>
    <w:p w14:paraId="73550736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项目名称：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单片机技术及应用实验室设备更新项目</w:t>
      </w:r>
    </w:p>
    <w:p w14:paraId="78C66A5A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宋体" w:hAnsi="宋体" w:cs="宋体"/>
          <w:b/>
          <w:bCs/>
          <w:sz w:val="28"/>
          <w:szCs w:val="28"/>
          <w:lang w:val="en-US"/>
        </w:rPr>
      </w:pPr>
      <w:r>
        <w:rPr>
          <w:rFonts w:hint="eastAsia" w:ascii="宋体" w:hAnsi="宋体" w:cs="宋体"/>
          <w:b/>
          <w:sz w:val="28"/>
          <w:szCs w:val="28"/>
        </w:rPr>
        <w:t>项目地点：</w:t>
      </w:r>
      <w:r>
        <w:rPr>
          <w:rFonts w:hint="eastAsia" w:ascii="宋体" w:hAnsi="宋体" w:cs="宋体"/>
          <w:color w:val="0000FF"/>
          <w:sz w:val="28"/>
          <w:szCs w:val="28"/>
        </w:rPr>
        <w:t>武昌理工学院</w:t>
      </w:r>
      <w:r>
        <w:rPr>
          <w:rFonts w:hint="eastAsia" w:ascii="宋体" w:hAnsi="宋体" w:cs="宋体"/>
          <w:color w:val="0000FF"/>
          <w:sz w:val="28"/>
          <w:szCs w:val="28"/>
          <w:lang w:val="en-US" w:eastAsia="zh-CN"/>
        </w:rPr>
        <w:t>人工智能学院219</w:t>
      </w:r>
    </w:p>
    <w:p w14:paraId="3FCC8B79">
      <w:pPr>
        <w:pStyle w:val="6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项目</w:t>
      </w:r>
      <w:r>
        <w:rPr>
          <w:rFonts w:hint="eastAsia" w:ascii="宋体" w:hAnsi="宋体" w:cs="宋体"/>
          <w:b/>
          <w:kern w:val="2"/>
          <w:sz w:val="28"/>
          <w:szCs w:val="28"/>
          <w:lang w:val="en-US" w:eastAsia="zh-CN" w:bidi="ar-SA"/>
        </w:rPr>
        <w:t>建设目的及意义</w:t>
      </w: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：</w:t>
      </w:r>
    </w:p>
    <w:p w14:paraId="6AA528E6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560" w:firstLineChars="200"/>
        <w:jc w:val="both"/>
        <w:textAlignment w:val="auto"/>
        <w:rPr>
          <w:rFonts w:hint="eastAsia" w:ascii="宋体" w:hAnsi="宋体" w:cs="宋体"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auto"/>
          <w:spacing w:val="0"/>
          <w:sz w:val="28"/>
          <w:szCs w:val="28"/>
          <w:lang w:val="en-US" w:eastAsia="zh-CN"/>
        </w:rPr>
        <w:t>原单片机实验室设备老旧已使用8年，技术老旧，无法适应现行教学需求。本项目旨在顺应电子信息与自动化领域技术发展趋势，满足《单片机技术及应用》等课程的实践教学需求。通过引入开放式综合实验/仿真系统箱（要求采用“核心板+统一尺寸扩展板”的系统架构设计，拒绝采用“开发板+外围模块”的零散结构设计），配置MCS-51为核心的单片机及</w:t>
      </w:r>
      <w:r>
        <w:rPr>
          <w:rFonts w:hint="eastAsia" w:ascii="宋体" w:hAnsi="宋体" w:cs="宋体"/>
          <w:color w:val="C00000"/>
          <w:spacing w:val="0"/>
          <w:sz w:val="28"/>
          <w:szCs w:val="28"/>
          <w:lang w:val="en-US" w:eastAsia="zh-CN"/>
        </w:rPr>
        <w:t>ADC0809</w:t>
      </w:r>
      <w:r>
        <w:rPr>
          <w:rFonts w:hint="eastAsia" w:ascii="宋体" w:hAnsi="宋体" w:cs="宋体"/>
          <w:color w:val="auto"/>
          <w:spacing w:val="0"/>
          <w:sz w:val="28"/>
          <w:szCs w:val="28"/>
          <w:lang w:val="en-US" w:eastAsia="zh-CN"/>
        </w:rPr>
        <w:t xml:space="preserve"> 模数转换模块、</w:t>
      </w:r>
      <w:r>
        <w:rPr>
          <w:rFonts w:hint="eastAsia" w:ascii="宋体" w:hAnsi="宋体" w:cs="宋体"/>
          <w:color w:val="C00000"/>
          <w:spacing w:val="0"/>
          <w:sz w:val="28"/>
          <w:szCs w:val="28"/>
          <w:lang w:val="en-US" w:eastAsia="zh-CN"/>
        </w:rPr>
        <w:t>DAC0832</w:t>
      </w:r>
      <w:r>
        <w:rPr>
          <w:rFonts w:hint="eastAsia" w:ascii="宋体" w:hAnsi="宋体" w:cs="宋体"/>
          <w:color w:val="auto"/>
          <w:spacing w:val="0"/>
          <w:sz w:val="28"/>
          <w:szCs w:val="28"/>
          <w:lang w:val="en-US" w:eastAsia="zh-CN"/>
        </w:rPr>
        <w:t xml:space="preserve"> 数模转换模块、DS18B20 温度传感器、超声波测距模块等配套外围模组和通讯模组实现硬件电路搭建、程序开发、通讯模组驱动与使用、上层软件开发，构建集教学、科研、技能实训于一体的多功能实验平台。实验室将支持 IO 口应用、外部中断、定时 /计数器、串并行通信、AD/DA 转换、电机控制等多类实验项目开展，助力学生深入理解单片机工作原理，熟练掌握单片机编程与硬件接口设计技能，提升实践操作与科研创新能力，为培养适应电子信息行业需求的高素质应用型人才奠定坚实基础。</w:t>
      </w:r>
    </w:p>
    <w:p w14:paraId="7B80F68E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4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>实验平台可以完成以下</w:t>
      </w:r>
      <w:r>
        <w:rPr>
          <w:rFonts w:hint="eastAsia" w:ascii="宋体" w:hAnsi="宋体"/>
          <w:b/>
          <w:sz w:val="24"/>
        </w:rPr>
        <w:t>实验项目：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2420"/>
        <w:gridCol w:w="5278"/>
      </w:tblGrid>
      <w:tr w14:paraId="07F03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822" w:type="dxa"/>
            <w:noWrap w:val="0"/>
            <w:vAlign w:val="center"/>
          </w:tcPr>
          <w:p w14:paraId="40E68BD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2420" w:type="dxa"/>
            <w:noWrap w:val="0"/>
            <w:vAlign w:val="center"/>
          </w:tcPr>
          <w:p w14:paraId="7A63539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开设实验名称</w:t>
            </w:r>
          </w:p>
        </w:tc>
        <w:tc>
          <w:tcPr>
            <w:tcW w:w="5278" w:type="dxa"/>
            <w:noWrap w:val="0"/>
            <w:vAlign w:val="center"/>
          </w:tcPr>
          <w:p w14:paraId="6B42C0A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主要内容</w:t>
            </w:r>
          </w:p>
        </w:tc>
      </w:tr>
      <w:tr w14:paraId="60CFE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2" w:hRule="atLeast"/>
          <w:jc w:val="center"/>
        </w:trPr>
        <w:tc>
          <w:tcPr>
            <w:tcW w:w="822" w:type="dxa"/>
            <w:noWrap w:val="0"/>
            <w:vAlign w:val="center"/>
          </w:tcPr>
          <w:p w14:paraId="11C55AA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2420" w:type="dxa"/>
            <w:noWrap w:val="0"/>
            <w:vAlign w:val="center"/>
          </w:tcPr>
          <w:p w14:paraId="44C5E37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单片机硬件平台认识实验</w:t>
            </w:r>
          </w:p>
        </w:tc>
        <w:tc>
          <w:tcPr>
            <w:tcW w:w="5278" w:type="dxa"/>
            <w:noWrap w:val="0"/>
            <w:vAlign w:val="center"/>
          </w:tcPr>
          <w:p w14:paraId="2C92454E">
            <w:pPr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firstLine="0" w:firstLineChars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了解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单片机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实验箱的结构组成，包括模拟信号发生器、地址译码电路、开关量发生器、发光二极管组等模块；掌握单片机最小系统的构成，熟悉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单片机</w:t>
            </w:r>
            <w:r>
              <w:rPr>
                <w:rFonts w:hint="eastAsia" w:ascii="宋体" w:hAnsi="宋体" w:cs="宋体"/>
                <w:kern w:val="0"/>
                <w:sz w:val="24"/>
              </w:rPr>
              <w:t>芯片的引脚功能与连接方式；学习实验箱与计算机的连接及调试方法，为后续实验奠定硬件基础。</w:t>
            </w:r>
          </w:p>
        </w:tc>
      </w:tr>
      <w:tr w14:paraId="374AB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9" w:hRule="atLeast"/>
          <w:jc w:val="center"/>
        </w:trPr>
        <w:tc>
          <w:tcPr>
            <w:tcW w:w="822" w:type="dxa"/>
            <w:noWrap w:val="0"/>
            <w:vAlign w:val="center"/>
          </w:tcPr>
          <w:p w14:paraId="029F4E2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</w:t>
            </w:r>
          </w:p>
        </w:tc>
        <w:tc>
          <w:tcPr>
            <w:tcW w:w="2420" w:type="dxa"/>
            <w:noWrap w:val="0"/>
            <w:vAlign w:val="center"/>
          </w:tcPr>
          <w:p w14:paraId="5D3AE00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单片机软件平台认识实验</w:t>
            </w:r>
          </w:p>
        </w:tc>
        <w:tc>
          <w:tcPr>
            <w:tcW w:w="5278" w:type="dxa"/>
            <w:noWrap w:val="0"/>
            <w:vAlign w:val="center"/>
          </w:tcPr>
          <w:p w14:paraId="2AD51A6A">
            <w:pPr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firstLine="0" w:firstLineChars="0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掌握 Keil4 编程环境的使用，包括新建工程、编写 C 语言程序、编译生成.hex 文件等操作；熟悉 Proteus 仿真软件的操作，能够绘制单片机系统电路原理图并进行虚拟仿真；学习 STC-ISP 下载软件的使用，掌握将程序烧录到单片机芯片的方法。</w:t>
            </w:r>
          </w:p>
        </w:tc>
      </w:tr>
      <w:tr w14:paraId="32C77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1" w:hRule="atLeast"/>
          <w:jc w:val="center"/>
        </w:trPr>
        <w:tc>
          <w:tcPr>
            <w:tcW w:w="822" w:type="dxa"/>
            <w:noWrap w:val="0"/>
            <w:vAlign w:val="center"/>
          </w:tcPr>
          <w:p w14:paraId="713810A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2420" w:type="dxa"/>
            <w:noWrap w:val="0"/>
            <w:vAlign w:val="center"/>
          </w:tcPr>
          <w:p w14:paraId="1B33E3E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IO 口输出 -- 流水灯实验</w:t>
            </w:r>
          </w:p>
        </w:tc>
        <w:tc>
          <w:tcPr>
            <w:tcW w:w="5278" w:type="dxa"/>
            <w:noWrap w:val="0"/>
            <w:vAlign w:val="center"/>
          </w:tcPr>
          <w:p w14:paraId="6294468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掌握单片机 P1 口直接控制的操作方法；设计流水灯程序，理解延时程序的编写原理；利用 KEIL4 和 Proteus 进行程序设计与仿真，再通过硬件实验平台实现八个发光二极管循环闪烁（频率 1HZ，实验系统振荡器频率 12M），熟悉硬件线路连接与程序下载流程。</w:t>
            </w:r>
          </w:p>
        </w:tc>
      </w:tr>
      <w:tr w14:paraId="13C9E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7" w:hRule="atLeast"/>
          <w:jc w:val="center"/>
        </w:trPr>
        <w:tc>
          <w:tcPr>
            <w:tcW w:w="822" w:type="dxa"/>
            <w:noWrap w:val="0"/>
            <w:vAlign w:val="center"/>
          </w:tcPr>
          <w:p w14:paraId="5E1C3D9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2420" w:type="dxa"/>
            <w:noWrap w:val="0"/>
            <w:vAlign w:val="center"/>
          </w:tcPr>
          <w:p w14:paraId="5DFD0EE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IO 口输入 -- 开关控制实验</w:t>
            </w:r>
          </w:p>
        </w:tc>
        <w:tc>
          <w:tcPr>
            <w:tcW w:w="5278" w:type="dxa"/>
            <w:noWrap w:val="0"/>
            <w:vAlign w:val="center"/>
          </w:tcPr>
          <w:p w14:paraId="23FCAF06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掌握单片机 IO 口作为输入的程序控制方法；设计开关控制流水灯的程序，实现开关对流水灯开启与停止状态的控制，闪烁频率 1HZ；通过硬件实验平台完成键控制流水灯实验，对比 IO 口输入与输出的区别。</w:t>
            </w:r>
          </w:p>
        </w:tc>
      </w:tr>
      <w:tr w14:paraId="7A611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4" w:hRule="atLeast"/>
          <w:jc w:val="center"/>
        </w:trPr>
        <w:tc>
          <w:tcPr>
            <w:tcW w:w="822" w:type="dxa"/>
            <w:noWrap w:val="0"/>
            <w:vAlign w:val="center"/>
          </w:tcPr>
          <w:p w14:paraId="653DA4B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</w:p>
        </w:tc>
        <w:tc>
          <w:tcPr>
            <w:tcW w:w="2420" w:type="dxa"/>
            <w:noWrap w:val="0"/>
            <w:vAlign w:val="center"/>
          </w:tcPr>
          <w:p w14:paraId="20214E8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IO 口综合 -- 键控声光报警电路实验</w:t>
            </w:r>
          </w:p>
        </w:tc>
        <w:tc>
          <w:tcPr>
            <w:tcW w:w="5278" w:type="dxa"/>
            <w:noWrap w:val="0"/>
            <w:vAlign w:val="center"/>
          </w:tcPr>
          <w:p w14:paraId="005F38E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掌握单片机蜂鸣器的工作原理和数码管的控制方法；设计键控声光报警程序，当开关打开时数码管循环显示 9-0，开关闭合后报警器响且数码管显示 8 并以 5HZ 频率闪烁；利用 Proteus 绘制电路并仿真，再通过硬件平台验证，掌握开关器件的设计与应用。</w:t>
            </w:r>
          </w:p>
        </w:tc>
      </w:tr>
      <w:tr w14:paraId="5467B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8" w:hRule="atLeast"/>
          <w:jc w:val="center"/>
        </w:trPr>
        <w:tc>
          <w:tcPr>
            <w:tcW w:w="822" w:type="dxa"/>
            <w:noWrap w:val="0"/>
            <w:vAlign w:val="center"/>
          </w:tcPr>
          <w:p w14:paraId="5A34E76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</w:p>
        </w:tc>
        <w:tc>
          <w:tcPr>
            <w:tcW w:w="2420" w:type="dxa"/>
            <w:noWrap w:val="0"/>
            <w:vAlign w:val="center"/>
          </w:tcPr>
          <w:p w14:paraId="42C845A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外部中断基础应用实验</w:t>
            </w:r>
          </w:p>
        </w:tc>
        <w:tc>
          <w:tcPr>
            <w:tcW w:w="5278" w:type="dxa"/>
            <w:noWrap w:val="0"/>
            <w:vAlign w:val="center"/>
          </w:tcPr>
          <w:p w14:paraId="17B0316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掌握单片机外部中断的工作原理和应用方法；设计外部中断控制流水灯的程序，通过 C 语言编程实现外部中断控制八个发光二极管循环闪烁（频率 5HZ）；利用 Proteus 绘制包含单片机小系统、流水灯系统和外部中断 0 的电路，完成软件仿真与硬件验证。</w:t>
            </w:r>
          </w:p>
        </w:tc>
      </w:tr>
      <w:tr w14:paraId="74661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7" w:hRule="atLeast"/>
          <w:jc w:val="center"/>
        </w:trPr>
        <w:tc>
          <w:tcPr>
            <w:tcW w:w="822" w:type="dxa"/>
            <w:noWrap w:val="0"/>
            <w:vAlign w:val="center"/>
          </w:tcPr>
          <w:p w14:paraId="6678BD4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7</w:t>
            </w:r>
          </w:p>
        </w:tc>
        <w:tc>
          <w:tcPr>
            <w:tcW w:w="2420" w:type="dxa"/>
            <w:noWrap w:val="0"/>
            <w:vAlign w:val="center"/>
          </w:tcPr>
          <w:p w14:paraId="084AAA0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中断嵌套实验</w:t>
            </w:r>
          </w:p>
        </w:tc>
        <w:tc>
          <w:tcPr>
            <w:tcW w:w="5278" w:type="dxa"/>
            <w:noWrap w:val="0"/>
            <w:vAlign w:val="center"/>
          </w:tcPr>
          <w:p w14:paraId="2429D3A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理解单片机外部中断优先级的设置方法；掌握 C51 外部中断嵌套的应用；设计嵌套中断控制流水灯程序，系统运行时流水灯正常循环，触发低优先级外部中断 0 时 4 灯亮 4 灯灭循环，触发高优先级外部中断 1 时 8 灯全亮全灭 10 次（频率约 5HZ）；完成硬件实验验证中断嵌套功能。</w:t>
            </w:r>
          </w:p>
        </w:tc>
      </w:tr>
      <w:tr w14:paraId="1B2B8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5" w:hRule="atLeast"/>
          <w:jc w:val="center"/>
        </w:trPr>
        <w:tc>
          <w:tcPr>
            <w:tcW w:w="822" w:type="dxa"/>
            <w:noWrap w:val="0"/>
            <w:vAlign w:val="center"/>
          </w:tcPr>
          <w:p w14:paraId="18E7CDF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8</w:t>
            </w:r>
          </w:p>
        </w:tc>
        <w:tc>
          <w:tcPr>
            <w:tcW w:w="2420" w:type="dxa"/>
            <w:noWrap w:val="0"/>
            <w:vAlign w:val="center"/>
          </w:tcPr>
          <w:p w14:paraId="5536C8D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定时器实验</w:t>
            </w:r>
          </w:p>
        </w:tc>
        <w:tc>
          <w:tcPr>
            <w:tcW w:w="5278" w:type="dxa"/>
            <w:noWrap w:val="0"/>
            <w:vAlign w:val="center"/>
          </w:tcPr>
          <w:p w14:paraId="6F341D2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掌握单片机定时器的基本工作原理和时间设置方法；学会编写定时器中断服务程序；利用定时器 0 实现长时间定时，从 P1.0 口输出频率 1HZ、脉宽 1S 的方波控制 LED 灯闪动（fosc=12MHZ）；通过 Proteus 仿真和硬件实验平台验证定时器功能。</w:t>
            </w:r>
          </w:p>
        </w:tc>
      </w:tr>
      <w:tr w14:paraId="7F60B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  <w:jc w:val="center"/>
        </w:trPr>
        <w:tc>
          <w:tcPr>
            <w:tcW w:w="822" w:type="dxa"/>
            <w:noWrap w:val="0"/>
            <w:vAlign w:val="center"/>
          </w:tcPr>
          <w:p w14:paraId="076763F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</w:p>
        </w:tc>
        <w:tc>
          <w:tcPr>
            <w:tcW w:w="2420" w:type="dxa"/>
            <w:noWrap w:val="0"/>
            <w:vAlign w:val="center"/>
          </w:tcPr>
          <w:p w14:paraId="1C6E899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计数器实验</w:t>
            </w:r>
          </w:p>
        </w:tc>
        <w:tc>
          <w:tcPr>
            <w:tcW w:w="5278" w:type="dxa"/>
            <w:noWrap w:val="0"/>
            <w:vAlign w:val="center"/>
          </w:tcPr>
          <w:p w14:paraId="20CBD77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掌握单片机计数器的基本工作原理和相关寄存器设置；学会编写计数器中断服务程序；将 T1 设为计数模式（方式 1 中断），在计数输入引脚 T1（P3.5）外接按钮开关，按 4 次按钮后 P1 口 8 只 LED 闪烁不停；完成电路仿真与硬件实验验证。</w:t>
            </w:r>
          </w:p>
        </w:tc>
      </w:tr>
      <w:tr w14:paraId="098EE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3" w:hRule="atLeast"/>
          <w:jc w:val="center"/>
        </w:trPr>
        <w:tc>
          <w:tcPr>
            <w:tcW w:w="822" w:type="dxa"/>
            <w:noWrap w:val="0"/>
            <w:vAlign w:val="center"/>
          </w:tcPr>
          <w:p w14:paraId="6EF1028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10</w:t>
            </w:r>
          </w:p>
        </w:tc>
        <w:tc>
          <w:tcPr>
            <w:tcW w:w="2420" w:type="dxa"/>
            <w:noWrap w:val="0"/>
            <w:vAlign w:val="center"/>
          </w:tcPr>
          <w:p w14:paraId="40D70AC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串口扩展并行口实验</w:t>
            </w:r>
          </w:p>
        </w:tc>
        <w:tc>
          <w:tcPr>
            <w:tcW w:w="5278" w:type="dxa"/>
            <w:noWrap w:val="0"/>
            <w:vAlign w:val="center"/>
          </w:tcPr>
          <w:p w14:paraId="40AF622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掌握串口扩展并行 I/O 口的方法；熟悉串口工作模式 0（8 位同步移位寄存器，波特率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shd w:val="clear" w:color="auto" w:fill="FFFFFF"/>
              </w:rPr>
              <w:t xml:space="preserve"> f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shd w:val="clear" w:color="auto" w:fill="FFFFFF"/>
                <w:lang w:val="en-US" w:eastAsia="zh-CN"/>
              </w:rPr>
              <w:t>osc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0000FF"/>
                <w:spacing w:val="0"/>
                <w:sz w:val="24"/>
                <w:szCs w:val="24"/>
                <w:shd w:val="clear" w:color="auto" w:fill="FFFFFF"/>
              </w:rPr>
              <w:t>/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12）的使用；利用 74LS164 串入并出移位寄存器，其输出口接 SW-LED 模块，实现 LED 灯依次显示形成流水灯；完成软件设计、仿真与硬件验证。</w:t>
            </w:r>
          </w:p>
        </w:tc>
      </w:tr>
      <w:tr w14:paraId="41597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01" w:hRule="atLeast"/>
          <w:jc w:val="center"/>
        </w:trPr>
        <w:tc>
          <w:tcPr>
            <w:tcW w:w="822" w:type="dxa"/>
            <w:noWrap w:val="0"/>
            <w:vAlign w:val="center"/>
          </w:tcPr>
          <w:p w14:paraId="38AB6CB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11</w:t>
            </w:r>
          </w:p>
        </w:tc>
        <w:tc>
          <w:tcPr>
            <w:tcW w:w="2420" w:type="dxa"/>
            <w:noWrap w:val="0"/>
            <w:vAlign w:val="center"/>
          </w:tcPr>
          <w:p w14:paraId="6BF0750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LCD1602 显示实验</w:t>
            </w:r>
          </w:p>
        </w:tc>
        <w:tc>
          <w:tcPr>
            <w:tcW w:w="5278" w:type="dxa"/>
            <w:noWrap w:val="0"/>
            <w:vAlign w:val="center"/>
          </w:tcPr>
          <w:p w14:paraId="1FF080DB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 LCD1602 的工作原理和控制方法；设计 LCD1602 显示程序，实现指定字符（如 “Welcome”“Harbin CHINA”）的显示；利用 Proteus 绘制单片机与 LCD1602 的接口电路，完成软件仿真，再通过硬件实验平台实现 LCD1602 显示功能，熟悉硬件线路连接与程序调试。</w:t>
            </w:r>
          </w:p>
        </w:tc>
      </w:tr>
      <w:tr w14:paraId="01287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1" w:hRule="atLeast"/>
          <w:jc w:val="center"/>
        </w:trPr>
        <w:tc>
          <w:tcPr>
            <w:tcW w:w="822" w:type="dxa"/>
            <w:noWrap w:val="0"/>
            <w:vAlign w:val="center"/>
          </w:tcPr>
          <w:p w14:paraId="5429CE8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12</w:t>
            </w:r>
          </w:p>
        </w:tc>
        <w:tc>
          <w:tcPr>
            <w:tcW w:w="2420" w:type="dxa"/>
            <w:noWrap w:val="0"/>
            <w:vAlign w:val="center"/>
          </w:tcPr>
          <w:p w14:paraId="1BA6604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单总线串行扩展应用实验</w:t>
            </w:r>
          </w:p>
        </w:tc>
        <w:tc>
          <w:tcPr>
            <w:tcW w:w="5278" w:type="dxa"/>
            <w:noWrap w:val="0"/>
            <w:vAlign w:val="center"/>
          </w:tcPr>
          <w:p w14:paraId="14F189B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掌握单总线串行扩展技术；了解温度传感器 DS18B20 的特性和温度测量原理（测量范围 - 55~128℃，-10~+85℃内精度 ±0.5℃）；设计基于 DS18B20 和 LED 数码管的单总线温度测量程序，实现温度数据的采集与显示；完成电路仿真与硬件实验，掌握单总线协议的实现方法。</w:t>
            </w:r>
          </w:p>
        </w:tc>
      </w:tr>
      <w:tr w14:paraId="739D0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3" w:hRule="atLeast"/>
          <w:jc w:val="center"/>
        </w:trPr>
        <w:tc>
          <w:tcPr>
            <w:tcW w:w="822" w:type="dxa"/>
            <w:noWrap w:val="0"/>
            <w:vAlign w:val="center"/>
          </w:tcPr>
          <w:p w14:paraId="742ACF6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13</w:t>
            </w:r>
          </w:p>
        </w:tc>
        <w:tc>
          <w:tcPr>
            <w:tcW w:w="2420" w:type="dxa"/>
            <w:noWrap w:val="0"/>
            <w:vAlign w:val="center"/>
          </w:tcPr>
          <w:p w14:paraId="733EBAF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模数转换（ADC0809）实验</w:t>
            </w:r>
          </w:p>
        </w:tc>
        <w:tc>
          <w:tcPr>
            <w:tcW w:w="5278" w:type="dxa"/>
            <w:noWrap w:val="0"/>
            <w:vAlign w:val="center"/>
          </w:tcPr>
          <w:p w14:paraId="2B1DCCB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掌握单片机 ADC0809 的基本工作原理；学会 ADC 芯片与 AT89S51 单片机的硬件接口设计和接口驱动程序编写；采用查询方式控制 ADC0809（Proteus 中用 ADC0808 替代）进行 A/D 转换，将转换结果输出到 LED 显示；理解 A/D 转换器的转换时间、分辨率等主要技术指标，完成仿真与硬件实验。</w:t>
            </w:r>
          </w:p>
        </w:tc>
      </w:tr>
      <w:tr w14:paraId="6FC66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7" w:hRule="atLeast"/>
          <w:jc w:val="center"/>
        </w:trPr>
        <w:tc>
          <w:tcPr>
            <w:tcW w:w="822" w:type="dxa"/>
            <w:noWrap w:val="0"/>
            <w:vAlign w:val="center"/>
          </w:tcPr>
          <w:p w14:paraId="67B7529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14</w:t>
            </w:r>
          </w:p>
        </w:tc>
        <w:tc>
          <w:tcPr>
            <w:tcW w:w="2420" w:type="dxa"/>
            <w:noWrap w:val="0"/>
            <w:vAlign w:val="center"/>
          </w:tcPr>
          <w:p w14:paraId="5581620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数模转换（DAC0832）实验</w:t>
            </w:r>
          </w:p>
        </w:tc>
        <w:tc>
          <w:tcPr>
            <w:tcW w:w="5278" w:type="dxa"/>
            <w:noWrap w:val="0"/>
            <w:vAlign w:val="center"/>
          </w:tcPr>
          <w:p w14:paraId="5F3BDDC2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掌握单片机 DAC0832 的基本工作原理（8 位分辨率、电流输出、单 / 双缓冲输入等特性）；学会 DAC 芯片与 AT89S51 单片机的硬件接口设计和驱动程序编写；采用单缓冲方式接口，单片机通过 P1 口向 DAC0832 送入数字量并转换输出，用虚拟直流电压表测量经运放 LM358N I/V 转换后的电压值，观察输出电压变化；完成仿真与硬件实验。</w:t>
            </w:r>
          </w:p>
        </w:tc>
      </w:tr>
      <w:tr w14:paraId="3157E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8" w:hRule="atLeast"/>
          <w:jc w:val="center"/>
        </w:trPr>
        <w:tc>
          <w:tcPr>
            <w:tcW w:w="822" w:type="dxa"/>
            <w:noWrap w:val="0"/>
            <w:vAlign w:val="center"/>
          </w:tcPr>
          <w:p w14:paraId="4C2C3C0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15</w:t>
            </w:r>
          </w:p>
        </w:tc>
        <w:tc>
          <w:tcPr>
            <w:tcW w:w="2420" w:type="dxa"/>
            <w:noWrap w:val="0"/>
            <w:vAlign w:val="center"/>
          </w:tcPr>
          <w:p w14:paraId="450F2DDE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直流电机控制实验</w:t>
            </w:r>
          </w:p>
        </w:tc>
        <w:tc>
          <w:tcPr>
            <w:tcW w:w="5278" w:type="dxa"/>
            <w:noWrap w:val="0"/>
            <w:vAlign w:val="center"/>
          </w:tcPr>
          <w:p w14:paraId="6CBD115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掌握直流电机的基本工作原理和驱动原理；学会直流电机与 AT89S51 单片机的硬件接口设计和驱动程序编写；利用单片机两个 I/O 脚控制直流电机，P3.7 脚输出 PWM 信号控制转速，P3.6 脚控制旋转方向；通过编程实现电机转速和方向的调节，完成仿真与硬件实验验证。</w:t>
            </w:r>
          </w:p>
        </w:tc>
      </w:tr>
      <w:tr w14:paraId="64151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5" w:hRule="atLeast"/>
          <w:jc w:val="center"/>
        </w:trPr>
        <w:tc>
          <w:tcPr>
            <w:tcW w:w="822" w:type="dxa"/>
            <w:noWrap w:val="0"/>
            <w:vAlign w:val="center"/>
          </w:tcPr>
          <w:p w14:paraId="7396D1A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16</w:t>
            </w:r>
          </w:p>
        </w:tc>
        <w:tc>
          <w:tcPr>
            <w:tcW w:w="2420" w:type="dxa"/>
            <w:noWrap w:val="0"/>
            <w:vAlign w:val="center"/>
          </w:tcPr>
          <w:p w14:paraId="48B1927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步进电机控制实验</w:t>
            </w:r>
          </w:p>
        </w:tc>
        <w:tc>
          <w:tcPr>
            <w:tcW w:w="5278" w:type="dxa"/>
            <w:noWrap w:val="0"/>
            <w:vAlign w:val="center"/>
          </w:tcPr>
          <w:p w14:paraId="42AE6D2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掌握步进电机的基本工作原理（将脉冲信号转为角位移 / 线位移）和驱动原理；了解步进电机的单四拍、双四拍、单双八拍等工作方式；设计程序用四路 I/O 口输出实现环形脉冲分配，控制步进电机按固定方向转动，通过 “正转”“反转” 按键控制电机转向，松开按键电机停止；完成仿真与硬件实验。</w:t>
            </w:r>
          </w:p>
        </w:tc>
      </w:tr>
      <w:tr w14:paraId="56C7C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1" w:hRule="atLeast"/>
          <w:jc w:val="center"/>
        </w:trPr>
        <w:tc>
          <w:tcPr>
            <w:tcW w:w="822" w:type="dxa"/>
            <w:noWrap w:val="0"/>
            <w:vAlign w:val="center"/>
          </w:tcPr>
          <w:p w14:paraId="6BE90D6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17</w:t>
            </w:r>
          </w:p>
        </w:tc>
        <w:tc>
          <w:tcPr>
            <w:tcW w:w="2420" w:type="dxa"/>
            <w:noWrap w:val="0"/>
            <w:vAlign w:val="center"/>
          </w:tcPr>
          <w:p w14:paraId="634F0BCF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简易电子琴设计实验</w:t>
            </w:r>
          </w:p>
        </w:tc>
        <w:tc>
          <w:tcPr>
            <w:tcW w:w="5278" w:type="dxa"/>
            <w:noWrap w:val="0"/>
            <w:vAlign w:val="center"/>
          </w:tcPr>
          <w:p w14:paraId="77D4BC44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熟悉单片机最小系统的设计与制作；掌握单片机接口技术在电子琴设计中的应用；利用 4X4 矩阵键盘作为音符输入，蜂鸣器作为发声器件，通过定时器产生不同频率的脉冲驱动蜂鸣器发出 1-7 等音符；设计程序实现按键扫描、音符频率控制和节拍控制，完成简易电子琴的软硬件设计与调试。</w:t>
            </w:r>
          </w:p>
        </w:tc>
      </w:tr>
      <w:tr w14:paraId="0F7C4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9" w:hRule="atLeast"/>
          <w:jc w:val="center"/>
        </w:trPr>
        <w:tc>
          <w:tcPr>
            <w:tcW w:w="822" w:type="dxa"/>
            <w:noWrap w:val="0"/>
            <w:vAlign w:val="center"/>
          </w:tcPr>
          <w:p w14:paraId="32525E7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18</w:t>
            </w:r>
          </w:p>
        </w:tc>
        <w:tc>
          <w:tcPr>
            <w:tcW w:w="2420" w:type="dxa"/>
            <w:noWrap w:val="0"/>
            <w:vAlign w:val="center"/>
          </w:tcPr>
          <w:p w14:paraId="24CCD1D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超声波测距与显示实验</w:t>
            </w:r>
          </w:p>
        </w:tc>
        <w:tc>
          <w:tcPr>
            <w:tcW w:w="5278" w:type="dxa"/>
            <w:noWrap w:val="0"/>
            <w:vAlign w:val="center"/>
          </w:tcPr>
          <w:p w14:paraId="6088053A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掌握超声波测距的基本原理；学会超声波测距模块与单片机的接口设计和数据处理方法；结合 LCD1602 显示模块，设计程序实现超声波发射、回波接收、距离计算与显示；完成硬件电路搭建（单片机最小系统、超声波模块、LCD1602 等）与程序调试，实现一定范围内（如 0-500cm）的距离测量与显示，并可加入温度补偿功能提高测量精度。</w:t>
            </w:r>
          </w:p>
        </w:tc>
      </w:tr>
      <w:tr w14:paraId="7C4E5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3" w:hRule="atLeast"/>
          <w:jc w:val="center"/>
        </w:trPr>
        <w:tc>
          <w:tcPr>
            <w:tcW w:w="822" w:type="dxa"/>
            <w:noWrap w:val="0"/>
            <w:vAlign w:val="center"/>
          </w:tcPr>
          <w:p w14:paraId="682DD525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240" w:firstLineChars="100"/>
              <w:jc w:val="left"/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19</w:t>
            </w:r>
          </w:p>
        </w:tc>
        <w:tc>
          <w:tcPr>
            <w:tcW w:w="2420" w:type="dxa"/>
            <w:noWrap w:val="0"/>
            <w:vAlign w:val="center"/>
          </w:tcPr>
          <w:p w14:paraId="108F65F0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I2C</w:t>
            </w:r>
          </w:p>
        </w:tc>
        <w:tc>
          <w:tcPr>
            <w:tcW w:w="5278" w:type="dxa"/>
            <w:noWrap w:val="0"/>
            <w:vAlign w:val="center"/>
          </w:tcPr>
          <w:p w14:paraId="6FE949E1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掌握I2C通信基本原理，学会使用单片机对I2C接口的EEPROM进行数据的读写。</w:t>
            </w:r>
          </w:p>
        </w:tc>
      </w:tr>
      <w:tr w14:paraId="672AC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7" w:hRule="atLeast"/>
          <w:jc w:val="center"/>
        </w:trPr>
        <w:tc>
          <w:tcPr>
            <w:tcW w:w="822" w:type="dxa"/>
            <w:noWrap w:val="0"/>
            <w:vAlign w:val="center"/>
          </w:tcPr>
          <w:p w14:paraId="6CE98FB9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240" w:firstLineChars="100"/>
              <w:jc w:val="left"/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20</w:t>
            </w:r>
          </w:p>
        </w:tc>
        <w:tc>
          <w:tcPr>
            <w:tcW w:w="2420" w:type="dxa"/>
            <w:noWrap w:val="0"/>
            <w:vAlign w:val="center"/>
          </w:tcPr>
          <w:p w14:paraId="6E2BAD88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SPI</w:t>
            </w:r>
          </w:p>
        </w:tc>
        <w:tc>
          <w:tcPr>
            <w:tcW w:w="5278" w:type="dxa"/>
            <w:noWrap w:val="0"/>
            <w:vAlign w:val="center"/>
          </w:tcPr>
          <w:p w14:paraId="3934FD2D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掌握SPI通信基本原理，学会使用单片机对SPI接口的实时时钟芯片进行数据的读写。</w:t>
            </w:r>
          </w:p>
        </w:tc>
      </w:tr>
      <w:tr w14:paraId="19C7E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  <w:jc w:val="center"/>
        </w:trPr>
        <w:tc>
          <w:tcPr>
            <w:tcW w:w="822" w:type="dxa"/>
            <w:noWrap w:val="0"/>
            <w:vAlign w:val="center"/>
          </w:tcPr>
          <w:p w14:paraId="56388F43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firstLine="240" w:firstLineChars="100"/>
              <w:jc w:val="left"/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21</w:t>
            </w:r>
          </w:p>
        </w:tc>
        <w:tc>
          <w:tcPr>
            <w:tcW w:w="2420" w:type="dxa"/>
            <w:noWrap w:val="0"/>
            <w:vAlign w:val="center"/>
          </w:tcPr>
          <w:p w14:paraId="358928E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综合设计实训</w:t>
            </w:r>
          </w:p>
        </w:tc>
        <w:tc>
          <w:tcPr>
            <w:tcW w:w="5278" w:type="dxa"/>
            <w:noWrap w:val="0"/>
            <w:vAlign w:val="center"/>
          </w:tcPr>
          <w:p w14:paraId="7D363ECC"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能让学生按照企业实际的产品构思、设计、实现、运行的全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流程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开展温度过程控制系统、出租车计价系统、基于单片机和wifi的远程采集控制系统、智能语音识别与控制系统等项目开发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，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项目包含硬件设计、程序开发、通讯模组使用、软件开发等系统级项目全部知识点。系统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同时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支持学生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开展工程实训、电子竞赛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训练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24"/>
                <w:szCs w:val="24"/>
                <w:shd w:val="clear" w:color="auto" w:fill="FFFFFF"/>
              </w:rPr>
              <w:t>、创新实践等。</w:t>
            </w:r>
          </w:p>
        </w:tc>
      </w:tr>
    </w:tbl>
    <w:p w14:paraId="216DD8FC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 w:firstLine="560" w:firstLineChars="200"/>
        <w:jc w:val="both"/>
        <w:textAlignment w:val="auto"/>
        <w:rPr>
          <w:rFonts w:hint="eastAsia" w:ascii="宋体" w:hAnsi="宋体" w:cs="宋体"/>
          <w:color w:val="auto"/>
          <w:spacing w:val="0"/>
          <w:sz w:val="28"/>
          <w:szCs w:val="28"/>
          <w:lang w:val="en-US" w:eastAsia="zh-CN"/>
        </w:rPr>
      </w:pPr>
    </w:p>
    <w:p w14:paraId="5C87FEF4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bCs/>
          <w:color w:val="auto"/>
          <w:spacing w:val="0"/>
          <w:sz w:val="28"/>
          <w:szCs w:val="28"/>
          <w:lang w:val="en-US" w:eastAsia="zh-CN"/>
        </w:rPr>
        <w:t>四、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采</w:t>
      </w:r>
      <w:r>
        <w:rPr>
          <w:rFonts w:hint="eastAsia" w:ascii="宋体" w:hAnsi="宋体" w:cs="宋体"/>
          <w:b/>
          <w:sz w:val="28"/>
          <w:szCs w:val="28"/>
          <w:lang w:val="en-US" w:eastAsia="zh-CN"/>
        </w:rPr>
        <w:t>购要求</w:t>
      </w:r>
      <w:r>
        <w:rPr>
          <w:rFonts w:hint="eastAsia" w:ascii="宋体" w:hAnsi="宋体" w:cs="宋体"/>
          <w:b/>
          <w:sz w:val="28"/>
          <w:szCs w:val="28"/>
        </w:rPr>
        <w:t>：</w:t>
      </w:r>
    </w:p>
    <w:p w14:paraId="78A135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Chars="0"/>
        <w:jc w:val="both"/>
        <w:textAlignment w:val="auto"/>
        <w:rPr>
          <w:rFonts w:hint="eastAsia" w:ascii="宋体" w:hAnsi="宋体" w:cs="宋体"/>
          <w:b/>
          <w:sz w:val="28"/>
          <w:szCs w:val="28"/>
        </w:rPr>
      </w:pPr>
    </w:p>
    <w:tbl>
      <w:tblPr>
        <w:tblStyle w:val="14"/>
        <w:tblW w:w="494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1118"/>
        <w:gridCol w:w="4907"/>
        <w:gridCol w:w="734"/>
      </w:tblGrid>
      <w:tr w14:paraId="42FD2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noWrap w:val="0"/>
            <w:vAlign w:val="center"/>
          </w:tcPr>
          <w:p w14:paraId="6F7E0F6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1117" w:type="dxa"/>
            <w:noWrap w:val="0"/>
            <w:vAlign w:val="center"/>
          </w:tcPr>
          <w:p w14:paraId="67879A3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型号</w:t>
            </w:r>
          </w:p>
        </w:tc>
        <w:tc>
          <w:tcPr>
            <w:tcW w:w="4904" w:type="dxa"/>
            <w:noWrap w:val="0"/>
            <w:vAlign w:val="center"/>
          </w:tcPr>
          <w:p w14:paraId="26D1DE9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 w:ascii="宋体" w:hAnsi="宋体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描述</w:t>
            </w:r>
          </w:p>
        </w:tc>
        <w:tc>
          <w:tcPr>
            <w:tcW w:w="733" w:type="dxa"/>
            <w:noWrap w:val="0"/>
            <w:vAlign w:val="center"/>
          </w:tcPr>
          <w:p w14:paraId="30A544E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val="en-US" w:eastAsia="zh-CN"/>
              </w:rPr>
              <w:t>数量</w:t>
            </w:r>
          </w:p>
        </w:tc>
      </w:tr>
      <w:tr w14:paraId="416E7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</w:trPr>
        <w:tc>
          <w:tcPr>
            <w:tcW w:w="1665" w:type="dxa"/>
            <w:noWrap w:val="0"/>
            <w:vAlign w:val="center"/>
          </w:tcPr>
          <w:p w14:paraId="7DD268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开放式综合实验/仿真系统箱</w:t>
            </w:r>
          </w:p>
        </w:tc>
        <w:tc>
          <w:tcPr>
            <w:tcW w:w="1117" w:type="dxa"/>
            <w:noWrap w:val="0"/>
            <w:vAlign w:val="center"/>
          </w:tcPr>
          <w:p w14:paraId="0085E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default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厂家</w:t>
            </w:r>
          </w:p>
        </w:tc>
        <w:tc>
          <w:tcPr>
            <w:tcW w:w="4904" w:type="dxa"/>
            <w:noWrap w:val="0"/>
            <w:vAlign w:val="center"/>
          </w:tcPr>
          <w:p w14:paraId="6526C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箱采用模块化设计，全部由功能相对独立的统一尺寸、统一接口模块构成；各模块位置可在箱内自由调换摆放和固定，可快速、便捷搭建多传感器，多执行器的系统级应用，方便收纳和维护；采用仿真式设计，仿真器与实验平台分离，支持脱机运行；</w:t>
            </w:r>
          </w:p>
          <w:p w14:paraId="7E8BD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各个模块开放其数据采集/控制接口，通过香蕉插头连接线与微处理器模块连接，实验时先完成硬件接线，再编程实现预期功能，以强化对学生学习单片机硬件电气连接关系、再软件编程协同实现预期实验功能的训练；</w:t>
            </w:r>
          </w:p>
          <w:p w14:paraId="6085D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实验箱包含模拟信号发生器模块、地址译码器模块、8位开关量（拨动开关）发生器模块、信号发生器模块、8位发光二极管组模块、步进电机模块、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DA</w:t>
            </w:r>
            <w:r>
              <w:rPr>
                <w:rFonts w:hint="eastAsia" w:ascii="宋体" w:hAnsi="宋体" w:cs="宋体"/>
                <w:i w:val="0"/>
                <w:iCs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0832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模块、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AD</w:t>
            </w:r>
            <w:r>
              <w:rPr>
                <w:rFonts w:hint="eastAsia" w:ascii="宋体" w:hAnsi="宋体" w:cs="宋体"/>
                <w:i w:val="0"/>
                <w:iCs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2"/>
                <w:szCs w:val="22"/>
                <w:u w:val="none"/>
                <w:lang w:val="en-US" w:eastAsia="zh-CN" w:bidi="ar"/>
              </w:rPr>
              <w:t>0809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模块、RS232/RS485 通讯模块、WIFI通信等 30 种以上功能模块，主要模块性能要求如下表；兼容 MCS51 实验；提供 100% 资源出让、实时性和无条件硬件断点功能。</w:t>
            </w:r>
          </w:p>
        </w:tc>
        <w:tc>
          <w:tcPr>
            <w:tcW w:w="733" w:type="dxa"/>
            <w:noWrap w:val="0"/>
            <w:vAlign w:val="center"/>
          </w:tcPr>
          <w:p w14:paraId="0212904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25套</w:t>
            </w:r>
          </w:p>
        </w:tc>
      </w:tr>
      <w:tr w14:paraId="15F2F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1665" w:type="dxa"/>
            <w:noWrap w:val="0"/>
            <w:vAlign w:val="center"/>
          </w:tcPr>
          <w:p w14:paraId="30F827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单片机芯片</w:t>
            </w:r>
          </w:p>
        </w:tc>
        <w:tc>
          <w:tcPr>
            <w:tcW w:w="1117" w:type="dxa"/>
            <w:noWrap w:val="0"/>
            <w:vAlign w:val="center"/>
          </w:tcPr>
          <w:p w14:paraId="0B6D1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default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0"/>
                <w:lang w:val="en-US" w:eastAsia="zh-CN"/>
              </w:rPr>
              <w:t>MCS-51</w:t>
            </w:r>
          </w:p>
        </w:tc>
        <w:tc>
          <w:tcPr>
            <w:tcW w:w="4904" w:type="dxa"/>
            <w:noWrap w:val="0"/>
            <w:vAlign w:val="center"/>
          </w:tcPr>
          <w:p w14:paraId="2DB534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 内核单片机，Flash 存储器 8KB，RAM 512B，工作电压 5V，支持 ISP 下载；用于实验程序的烧写与运行，是单片机实验的核心器件。</w:t>
            </w:r>
          </w:p>
        </w:tc>
        <w:tc>
          <w:tcPr>
            <w:tcW w:w="733" w:type="dxa"/>
            <w:noWrap w:val="0"/>
            <w:vAlign w:val="center"/>
          </w:tcPr>
          <w:p w14:paraId="57F4072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</w:tr>
      <w:tr w14:paraId="1784D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1665" w:type="dxa"/>
            <w:noWrap w:val="0"/>
            <w:vAlign w:val="center"/>
          </w:tcPr>
          <w:p w14:paraId="15F086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ISP 下载线</w:t>
            </w:r>
          </w:p>
        </w:tc>
        <w:tc>
          <w:tcPr>
            <w:tcW w:w="1117" w:type="dxa"/>
            <w:noWrap w:val="0"/>
            <w:vAlign w:val="center"/>
          </w:tcPr>
          <w:p w14:paraId="3F7BC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default" w:eastAsia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</w:t>
            </w:r>
          </w:p>
        </w:tc>
        <w:tc>
          <w:tcPr>
            <w:tcW w:w="4904" w:type="dxa"/>
            <w:noWrap w:val="0"/>
            <w:vAlign w:val="center"/>
          </w:tcPr>
          <w:p w14:paraId="53B5D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 w:eastAsia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一端接计算机并口，另一端接 Lab51CPU 板 “ISP 下载” 10 芯插座；用于将 KEIL4 编译生成的.hex 文件下载到 STC89C52RC 芯片中；支持 STC-ISP 软件操作，传输稳定。</w:t>
            </w:r>
          </w:p>
        </w:tc>
        <w:tc>
          <w:tcPr>
            <w:tcW w:w="733" w:type="dxa"/>
            <w:noWrap w:val="0"/>
            <w:vAlign w:val="center"/>
          </w:tcPr>
          <w:p w14:paraId="636A470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</w:tr>
      <w:tr w14:paraId="50E3B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</w:trPr>
        <w:tc>
          <w:tcPr>
            <w:tcW w:w="1665" w:type="dxa"/>
            <w:noWrap w:val="0"/>
            <w:vAlign w:val="center"/>
          </w:tcPr>
          <w:p w14:paraId="788CB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LCD1602 显示模块</w:t>
            </w:r>
          </w:p>
        </w:tc>
        <w:tc>
          <w:tcPr>
            <w:tcW w:w="1117" w:type="dxa"/>
            <w:noWrap w:val="0"/>
            <w:vAlign w:val="center"/>
          </w:tcPr>
          <w:p w14:paraId="7F54F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default" w:eastAsia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JHD162A</w:t>
            </w:r>
          </w:p>
        </w:tc>
        <w:tc>
          <w:tcPr>
            <w:tcW w:w="4904" w:type="dxa"/>
            <w:noWrap w:val="0"/>
            <w:vAlign w:val="center"/>
          </w:tcPr>
          <w:p w14:paraId="28BFF3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 列 2 行字符显示，工作电压 5V，接口方式 8 位 / 4 位可选；含对比度调节电位器，支持标准 ASCII 字符显示；用于实验中的数据显示，如温度、距离、字符信息等。</w:t>
            </w:r>
          </w:p>
        </w:tc>
        <w:tc>
          <w:tcPr>
            <w:tcW w:w="733" w:type="dxa"/>
            <w:noWrap w:val="0"/>
            <w:vAlign w:val="center"/>
          </w:tcPr>
          <w:p w14:paraId="21A2218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</w:tr>
      <w:tr w14:paraId="35264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1665" w:type="dxa"/>
            <w:noWrap w:val="0"/>
            <w:vAlign w:val="center"/>
          </w:tcPr>
          <w:p w14:paraId="77FC7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DS18B20 温度传感器模块</w:t>
            </w:r>
          </w:p>
        </w:tc>
        <w:tc>
          <w:tcPr>
            <w:tcW w:w="1117" w:type="dxa"/>
            <w:noWrap w:val="0"/>
            <w:vAlign w:val="center"/>
          </w:tcPr>
          <w:p w14:paraId="21072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DS18B20</w:t>
            </w:r>
          </w:p>
        </w:tc>
        <w:tc>
          <w:tcPr>
            <w:tcW w:w="4904" w:type="dxa"/>
            <w:noWrap w:val="0"/>
            <w:vAlign w:val="center"/>
          </w:tcPr>
          <w:p w14:paraId="2A428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单总线数字温度传感器，测量范围 - 55~128℃，-10~+85℃内精度 ±0.5℃；工作电压 3.3~5V，体积小、功耗低；用于温度测量实验，直接输出数字温度信号，无需 A/D 转换。</w:t>
            </w:r>
          </w:p>
        </w:tc>
        <w:tc>
          <w:tcPr>
            <w:tcW w:w="733" w:type="dxa"/>
            <w:noWrap w:val="0"/>
            <w:vAlign w:val="center"/>
          </w:tcPr>
          <w:p w14:paraId="53F4294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</w:tr>
      <w:tr w14:paraId="3B988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noWrap w:val="0"/>
            <w:vAlign w:val="center"/>
          </w:tcPr>
          <w:p w14:paraId="3EF0D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超声波测距模块</w:t>
            </w:r>
          </w:p>
        </w:tc>
        <w:tc>
          <w:tcPr>
            <w:tcW w:w="1117" w:type="dxa"/>
            <w:noWrap w:val="0"/>
            <w:vAlign w:val="center"/>
          </w:tcPr>
          <w:p w14:paraId="47799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HC-SR04</w:t>
            </w:r>
          </w:p>
        </w:tc>
        <w:tc>
          <w:tcPr>
            <w:tcW w:w="4904" w:type="dxa"/>
            <w:noWrap w:val="0"/>
            <w:vAlign w:val="center"/>
          </w:tcPr>
          <w:p w14:paraId="2A604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测量距离 2~400cm，精度 ±3mm，工作电压 5V；包含超声波发射器、接收器和控制电路；通过触发信号启动测距，回波信号反馈距离信息，用于超声波测距实验。</w:t>
            </w:r>
          </w:p>
        </w:tc>
        <w:tc>
          <w:tcPr>
            <w:tcW w:w="733" w:type="dxa"/>
            <w:noWrap w:val="0"/>
            <w:vAlign w:val="center"/>
          </w:tcPr>
          <w:p w14:paraId="2D6B00B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</w:tr>
      <w:tr w14:paraId="434DB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</w:trPr>
        <w:tc>
          <w:tcPr>
            <w:tcW w:w="1665" w:type="dxa"/>
            <w:noWrap w:val="0"/>
            <w:vAlign w:val="center"/>
          </w:tcPr>
          <w:p w14:paraId="6409D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直流电机模块</w:t>
            </w:r>
          </w:p>
        </w:tc>
        <w:tc>
          <w:tcPr>
            <w:tcW w:w="1117" w:type="dxa"/>
            <w:noWrap w:val="0"/>
            <w:vAlign w:val="center"/>
          </w:tcPr>
          <w:p w14:paraId="4CC2B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 直流电机 + 驱动板</w:t>
            </w:r>
          </w:p>
        </w:tc>
        <w:tc>
          <w:tcPr>
            <w:tcW w:w="4904" w:type="dxa"/>
            <w:noWrap w:val="0"/>
            <w:vAlign w:val="center"/>
          </w:tcPr>
          <w:p w14:paraId="612E3C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电机电压 6V，转速 1500rpm；驱动板采用 L298N 芯片，支持正反转和 PWM 调速；与单片机 IO 口连接，实现电机转速和方向控制，用于直流电机控制实验。</w:t>
            </w:r>
          </w:p>
        </w:tc>
        <w:tc>
          <w:tcPr>
            <w:tcW w:w="733" w:type="dxa"/>
            <w:noWrap w:val="0"/>
            <w:vAlign w:val="center"/>
          </w:tcPr>
          <w:p w14:paraId="6D5E6AE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</w:tr>
      <w:tr w14:paraId="5300B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noWrap w:val="0"/>
            <w:vAlign w:val="center"/>
          </w:tcPr>
          <w:p w14:paraId="32B79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步进电机模块</w:t>
            </w:r>
          </w:p>
        </w:tc>
        <w:tc>
          <w:tcPr>
            <w:tcW w:w="1117" w:type="dxa"/>
            <w:noWrap w:val="0"/>
            <w:vAlign w:val="center"/>
          </w:tcPr>
          <w:p w14:paraId="6A9BC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28BYJ-48</w:t>
            </w:r>
          </w:p>
        </w:tc>
        <w:tc>
          <w:tcPr>
            <w:tcW w:w="4904" w:type="dxa"/>
            <w:noWrap w:val="0"/>
            <w:vAlign w:val="center"/>
          </w:tcPr>
          <w:p w14:paraId="1AB1E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四相五线步进电机，步距角 5.625°/64，减速比 1:64；配套 ULN2003 驱动板，工作电压 5V；通过单片机输出脉冲信号控制电机转动，用于步进电机控制实验。</w:t>
            </w:r>
          </w:p>
        </w:tc>
        <w:tc>
          <w:tcPr>
            <w:tcW w:w="733" w:type="dxa"/>
            <w:noWrap w:val="0"/>
            <w:vAlign w:val="center"/>
          </w:tcPr>
          <w:p w14:paraId="5A10303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</w:tr>
      <w:tr w14:paraId="41C0A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noWrap w:val="0"/>
            <w:vAlign w:val="center"/>
          </w:tcPr>
          <w:p w14:paraId="3BABD7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4X4 矩阵键盘模块</w:t>
            </w:r>
          </w:p>
        </w:tc>
        <w:tc>
          <w:tcPr>
            <w:tcW w:w="1117" w:type="dxa"/>
            <w:noWrap w:val="0"/>
            <w:vAlign w:val="center"/>
          </w:tcPr>
          <w:p w14:paraId="0A7DC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</w:t>
            </w:r>
          </w:p>
        </w:tc>
        <w:tc>
          <w:tcPr>
            <w:tcW w:w="4904" w:type="dxa"/>
            <w:noWrap w:val="0"/>
            <w:vAlign w:val="center"/>
          </w:tcPr>
          <w:p w14:paraId="70C701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 个按键，工作电压 5V，接口为 4 行 4 列；用于简易电子琴实验中的音符输入，或其他实验中的多按键控制场景；配备防抖动电路，确保按键信号稳定。</w:t>
            </w:r>
          </w:p>
        </w:tc>
        <w:tc>
          <w:tcPr>
            <w:tcW w:w="733" w:type="dxa"/>
            <w:noWrap w:val="0"/>
            <w:vAlign w:val="center"/>
          </w:tcPr>
          <w:p w14:paraId="5CA6FF0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</w:tr>
      <w:tr w14:paraId="549EF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1665" w:type="dxa"/>
            <w:noWrap w:val="0"/>
            <w:vAlign w:val="center"/>
          </w:tcPr>
          <w:p w14:paraId="546C5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蜂鸣器模块</w:t>
            </w:r>
          </w:p>
        </w:tc>
        <w:tc>
          <w:tcPr>
            <w:tcW w:w="1117" w:type="dxa"/>
            <w:noWrap w:val="0"/>
            <w:vAlign w:val="center"/>
          </w:tcPr>
          <w:p w14:paraId="4C6AE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有源蜂鸣器</w:t>
            </w:r>
          </w:p>
        </w:tc>
        <w:tc>
          <w:tcPr>
            <w:tcW w:w="4904" w:type="dxa"/>
            <w:noWrap w:val="0"/>
            <w:vAlign w:val="center"/>
          </w:tcPr>
          <w:p w14:paraId="2155F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工作电压 5V，通过高低电平控制发声；用于键控声光报警实验、简易电子琴实验中的发声器件；体积小，安装方便，声音清晰。</w:t>
            </w:r>
          </w:p>
        </w:tc>
        <w:tc>
          <w:tcPr>
            <w:tcW w:w="733" w:type="dxa"/>
            <w:noWrap w:val="0"/>
            <w:vAlign w:val="center"/>
          </w:tcPr>
          <w:p w14:paraId="0D38733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</w:tr>
      <w:tr w14:paraId="27923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noWrap w:val="0"/>
            <w:vAlign w:val="center"/>
          </w:tcPr>
          <w:p w14:paraId="39BAC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KEIL4 软件开发环境</w:t>
            </w:r>
          </w:p>
        </w:tc>
        <w:tc>
          <w:tcPr>
            <w:tcW w:w="1117" w:type="dxa"/>
            <w:noWrap w:val="0"/>
            <w:vAlign w:val="center"/>
          </w:tcPr>
          <w:p w14:paraId="05A33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Keil C51 V9.0</w:t>
            </w:r>
          </w:p>
        </w:tc>
        <w:tc>
          <w:tcPr>
            <w:tcW w:w="4904" w:type="dxa"/>
            <w:noWrap w:val="0"/>
            <w:vAlign w:val="center"/>
          </w:tcPr>
          <w:p w14:paraId="04FD94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 8051 单片机的 C51 语言编程，集成编辑、编译、仿真功能；支持生成.hex 文件，提供强大的软件调试功能，生成代码运行速度快、占用存储器空间小；每个实验室终端均需安装，支持多用户同时使用。</w:t>
            </w:r>
          </w:p>
        </w:tc>
        <w:tc>
          <w:tcPr>
            <w:tcW w:w="733" w:type="dxa"/>
            <w:noWrap w:val="0"/>
            <w:vAlign w:val="center"/>
          </w:tcPr>
          <w:p w14:paraId="227E808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  <w:t>已有</w:t>
            </w:r>
          </w:p>
        </w:tc>
      </w:tr>
      <w:tr w14:paraId="2198D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5" w:type="dxa"/>
            <w:noWrap w:val="0"/>
            <w:vAlign w:val="center"/>
          </w:tcPr>
          <w:p w14:paraId="2B82B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Proteus 仿真软件</w:t>
            </w:r>
          </w:p>
        </w:tc>
        <w:tc>
          <w:tcPr>
            <w:tcW w:w="1117" w:type="dxa"/>
            <w:noWrap w:val="0"/>
            <w:vAlign w:val="center"/>
          </w:tcPr>
          <w:p w14:paraId="25D72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Proteus 8 Professional</w:t>
            </w:r>
          </w:p>
        </w:tc>
        <w:tc>
          <w:tcPr>
            <w:tcW w:w="4904" w:type="dxa"/>
            <w:noWrap w:val="0"/>
            <w:vAlign w:val="center"/>
          </w:tcPr>
          <w:p w14:paraId="7186B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用于绘制单片机系统电路原理图，实现虚拟仿真；支持单片机程序载入、仿真运行，可模拟声光、电机动作等效果；用于实验前的软件验证，减少硬件调试成本；每个实验室终端均需安装，支持多用户同时使用。</w:t>
            </w:r>
          </w:p>
        </w:tc>
        <w:tc>
          <w:tcPr>
            <w:tcW w:w="733" w:type="dxa"/>
            <w:noWrap w:val="0"/>
            <w:vAlign w:val="center"/>
          </w:tcPr>
          <w:p w14:paraId="011E72D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rPr>
                <w:rFonts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  <w:t>已有</w:t>
            </w:r>
          </w:p>
        </w:tc>
      </w:tr>
    </w:tbl>
    <w:p w14:paraId="67801C12">
      <w:pPr>
        <w:pStyle w:val="13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0" w:firstLineChars="0"/>
        <w:jc w:val="left"/>
        <w:textAlignment w:val="auto"/>
        <w:rPr>
          <w:rFonts w:hint="eastAsia" w:ascii="宋体" w:hAnsi="宋体" w:cs="宋体"/>
          <w:b/>
          <w:bCs/>
          <w:color w:val="FF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spacing w:val="0"/>
          <w:sz w:val="28"/>
          <w:szCs w:val="28"/>
          <w:lang w:val="en-US" w:eastAsia="zh-CN"/>
        </w:rPr>
        <w:t>特别要求：</w:t>
      </w:r>
    </w:p>
    <w:p w14:paraId="6691DBAB">
      <w:pPr>
        <w:pStyle w:val="13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0" w:firstLineChars="0"/>
        <w:jc w:val="left"/>
        <w:textAlignment w:val="auto"/>
        <w:rPr>
          <w:rFonts w:hint="eastAsia" w:ascii="宋体" w:hAnsi="宋体" w:cs="宋体"/>
          <w:b/>
          <w:bCs/>
          <w:color w:val="FF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FF0000"/>
          <w:spacing w:val="0"/>
          <w:sz w:val="28"/>
          <w:szCs w:val="28"/>
          <w:lang w:val="en-US" w:eastAsia="zh-CN"/>
        </w:rPr>
        <w:t>1、附件中产品参数仅做参考，若有不同，务必在招标文件偏离表中标明，此偏离不计入评分中；</w:t>
      </w:r>
      <w:bookmarkStart w:id="0" w:name="_GoBack"/>
      <w:bookmarkEnd w:id="0"/>
    </w:p>
    <w:p w14:paraId="7A97AAA3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/>
        <w:jc w:val="both"/>
        <w:textAlignment w:val="auto"/>
        <w:rPr>
          <w:rFonts w:hint="default" w:ascii="宋体" w:hAnsi="宋体" w:cs="宋体"/>
          <w:b/>
          <w:bCs/>
          <w:color w:val="FF0000"/>
          <w:spacing w:val="0"/>
          <w:kern w:val="0"/>
          <w:sz w:val="28"/>
          <w:szCs w:val="28"/>
          <w:lang w:val="en-US" w:eastAsia="zh-Hans" w:bidi="ar-SA"/>
        </w:rPr>
      </w:pPr>
      <w:r>
        <w:rPr>
          <w:rFonts w:hint="eastAsia" w:ascii="宋体" w:hAnsi="宋体" w:cs="宋体"/>
          <w:b/>
          <w:bCs/>
          <w:color w:val="FF0000"/>
          <w:spacing w:val="0"/>
          <w:kern w:val="0"/>
          <w:sz w:val="28"/>
          <w:szCs w:val="28"/>
          <w:lang w:val="en-US" w:eastAsia="zh-CN" w:bidi="ar-SA"/>
        </w:rPr>
        <w:t>2</w:t>
      </w:r>
      <w:r>
        <w:rPr>
          <w:rFonts w:hint="eastAsia" w:ascii="宋体" w:hAnsi="宋体" w:eastAsia="宋体" w:cs="宋体"/>
          <w:b/>
          <w:bCs/>
          <w:color w:val="FF0000"/>
          <w:spacing w:val="0"/>
          <w:kern w:val="0"/>
          <w:sz w:val="28"/>
          <w:szCs w:val="28"/>
          <w:lang w:val="en-US" w:eastAsia="zh-CN" w:bidi="ar-SA"/>
        </w:rPr>
        <w:t>、要求提供</w:t>
      </w:r>
      <w:r>
        <w:rPr>
          <w:rFonts w:hint="eastAsia" w:ascii="宋体" w:hAnsi="宋体" w:cs="宋体"/>
          <w:b/>
          <w:bCs/>
          <w:color w:val="FF0000"/>
          <w:spacing w:val="0"/>
          <w:kern w:val="0"/>
          <w:sz w:val="28"/>
          <w:szCs w:val="28"/>
          <w:lang w:val="en-US" w:eastAsia="zh-CN" w:bidi="ar-SA"/>
        </w:rPr>
        <w:t>在高校使用且成熟度高的产品。</w:t>
      </w:r>
    </w:p>
    <w:p w14:paraId="3FBF07F8"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0"/>
        <w:jc w:val="both"/>
        <w:textAlignment w:val="auto"/>
        <w:rPr>
          <w:rFonts w:hint="eastAsia" w:ascii="宋体" w:hAnsi="宋体" w:eastAsia="宋体" w:cs="宋体"/>
          <w:b/>
          <w:sz w:val="28"/>
          <w:szCs w:val="28"/>
          <w:lang w:eastAsia="zh-Hans"/>
        </w:rPr>
      </w:pPr>
      <w:r>
        <w:rPr>
          <w:rFonts w:hint="eastAsia" w:ascii="宋体" w:hAnsi="宋体" w:cs="宋体"/>
          <w:b/>
          <w:sz w:val="28"/>
          <w:szCs w:val="28"/>
          <w:lang w:val="en-US" w:eastAsia="zh-CN"/>
        </w:rPr>
        <w:t>五、</w:t>
      </w:r>
      <w:r>
        <w:rPr>
          <w:rFonts w:hint="eastAsia" w:ascii="宋体" w:hAnsi="宋体" w:eastAsia="宋体" w:cs="宋体"/>
          <w:b/>
          <w:sz w:val="28"/>
          <w:szCs w:val="28"/>
          <w:lang w:eastAsia="zh-Hans"/>
        </w:rPr>
        <w:t>供应商必须具备的资格条件</w:t>
      </w:r>
    </w:p>
    <w:p w14:paraId="17C7715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1、具备《中华人民共和国政府招标法》第二十二条规定的条件；</w:t>
      </w:r>
    </w:p>
    <w:p w14:paraId="1DE83D7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①具有独立承担民事责任的能力；</w:t>
      </w:r>
    </w:p>
    <w:p w14:paraId="58FADD6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②具有良好的商业信誉和健全的财务会计制度；</w:t>
      </w:r>
    </w:p>
    <w:p w14:paraId="20A912F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③具有履行合同所必需的专业技术能力；</w:t>
      </w:r>
    </w:p>
    <w:p w14:paraId="364E2D8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/>
        <w:textAlignment w:val="auto"/>
      </w:pPr>
      <w:r>
        <w:rPr>
          <w:rFonts w:hint="eastAsia" w:ascii="宋体" w:hAnsi="宋体" w:cs="宋体"/>
          <w:sz w:val="28"/>
          <w:szCs w:val="28"/>
        </w:rPr>
        <w:t>④有依法缴纳税收和社会保障资金的良好记录；</w:t>
      </w:r>
    </w:p>
    <w:p w14:paraId="48608E8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/>
        <w:textAlignment w:val="auto"/>
        <w:rPr>
          <w:rFonts w:ascii="宋体" w:hAnsi="宋体" w:cs="宋体"/>
          <w:sz w:val="28"/>
          <w:szCs w:val="28"/>
          <w:lang w:eastAsia="zh-Hans"/>
        </w:rPr>
      </w:pPr>
      <w:r>
        <w:rPr>
          <w:rFonts w:hint="eastAsia" w:ascii="宋体" w:hAnsi="宋体" w:cs="宋体"/>
          <w:sz w:val="28"/>
          <w:szCs w:val="28"/>
        </w:rPr>
        <w:t>⑤参加政府采购活动前三年内，在经营活动中没有重大违法记录；</w:t>
      </w:r>
      <w:r>
        <w:rPr>
          <w:rFonts w:hint="eastAsia" w:ascii="宋体" w:hAnsi="宋体" w:cs="宋体"/>
          <w:sz w:val="28"/>
          <w:szCs w:val="28"/>
          <w:lang w:eastAsia="zh-Hans"/>
        </w:rPr>
        <w:t>提供供应商书面声明；供应商自行承诺并承担后果。</w:t>
      </w:r>
    </w:p>
    <w:p w14:paraId="383BA0C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/>
        <w:textAlignment w:val="auto"/>
      </w:pPr>
      <w:r>
        <w:rPr>
          <w:rFonts w:hint="eastAsia" w:ascii="宋体" w:hAnsi="宋体" w:cs="宋体"/>
          <w:sz w:val="28"/>
          <w:szCs w:val="28"/>
        </w:rPr>
        <w:t>⑥</w:t>
      </w:r>
      <w:r>
        <w:rPr>
          <w:rFonts w:hint="eastAsia" w:ascii="宋体" w:hAnsi="宋体" w:cs="宋体"/>
          <w:sz w:val="28"/>
          <w:szCs w:val="28"/>
          <w:lang w:eastAsia="zh-Hans"/>
        </w:rPr>
        <w:t>法律、行政法规规定的其他条件</w:t>
      </w:r>
      <w:r>
        <w:rPr>
          <w:rFonts w:hint="eastAsia" w:ascii="宋体" w:hAnsi="宋体" w:cs="宋体"/>
          <w:sz w:val="28"/>
          <w:szCs w:val="28"/>
        </w:rPr>
        <w:t>；</w:t>
      </w:r>
    </w:p>
    <w:p w14:paraId="6DAFF6C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/>
        <w:textAlignment w:val="auto"/>
        <w:rPr>
          <w:rFonts w:ascii="宋体" w:hAnsi="宋体" w:cs="宋体"/>
          <w:color w:val="0000FF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⑦投标产品在武汉地区能够长年提供售后服务和专业维护人员。</w:t>
      </w:r>
    </w:p>
    <w:p w14:paraId="7A7EF17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2、必须是在中华人民共和国境内注册并取得营业执照的独立法人；</w:t>
      </w:r>
    </w:p>
    <w:p w14:paraId="33FF619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供应商在“信用中国”网站（www.creditchina.gov.cn）中未被列入失信被执行人、重大税收违法案件当事人名单、政府采购严重违法失信行为记录名单和“中国政府采购”网站（www.ccgp.gov.cn）政府采购严重违法失信行为记录名单（以公告期内的查询结果为准）；</w:t>
      </w:r>
    </w:p>
    <w:p w14:paraId="162E6A2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color w:val="FF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4、</w:t>
      </w:r>
      <w:r>
        <w:rPr>
          <w:rFonts w:hint="eastAsia" w:ascii="宋体" w:hAnsi="宋体" w:cs="宋体"/>
          <w:color w:val="FF0000"/>
          <w:spacing w:val="0"/>
          <w:sz w:val="28"/>
          <w:szCs w:val="28"/>
          <w:lang w:val="en-US" w:eastAsia="zh-CN"/>
        </w:rPr>
        <w:t>至少近三年高校成功案例。</w:t>
      </w:r>
    </w:p>
    <w:p w14:paraId="4433F5A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宋体" w:hAnsi="宋体" w:cs="宋体"/>
          <w:b/>
          <w:bCs/>
          <w:color w:val="auto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pacing w:val="0"/>
          <w:sz w:val="28"/>
          <w:szCs w:val="28"/>
          <w:lang w:val="en-US" w:eastAsia="zh-CN"/>
        </w:rPr>
        <w:t>六、质保及售后服务要求</w:t>
      </w:r>
    </w:p>
    <w:p w14:paraId="1960D5E8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1、质保期：整体实验系统箱及所有模块质保期不少于</w:t>
      </w:r>
      <w:r>
        <w:rPr>
          <w:rFonts w:hint="default" w:ascii="宋体" w:hAnsi="宋体" w:cs="宋体"/>
          <w:sz w:val="28"/>
          <w:szCs w:val="28"/>
          <w:lang w:val="en-US" w:eastAsia="zh-CN"/>
        </w:rPr>
        <w:t>3年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，</w:t>
      </w:r>
      <w:r>
        <w:rPr>
          <w:rFonts w:hint="default" w:ascii="宋体" w:hAnsi="宋体" w:cs="宋体"/>
          <w:sz w:val="28"/>
          <w:szCs w:val="28"/>
          <w:lang w:val="en-US" w:eastAsia="zh-CN"/>
        </w:rPr>
        <w:t>自项目验收合格之日起计算。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质保期内因产品质量问题导致的故障，供应商应免费维修或更换，并承担全部费用。</w:t>
      </w:r>
    </w:p>
    <w:p w14:paraId="78385DE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2、售后服务响应：</w:t>
      </w:r>
      <w:r>
        <w:rPr>
          <w:rFonts w:hint="default" w:ascii="宋体" w:hAnsi="宋体" w:cs="宋体"/>
          <w:sz w:val="28"/>
          <w:szCs w:val="28"/>
          <w:lang w:val="en-US" w:eastAsia="zh-CN"/>
        </w:rPr>
        <w:t>供应商须在武汉设有常驻售后服务点或授权服务商。接到故障报修后，2小时内响应，24小时内到达现场，一般故障48小时内解决，重大故障72小时内解决。</w:t>
      </w:r>
    </w:p>
    <w:p w14:paraId="13706D7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3、培训服务：</w:t>
      </w:r>
      <w:r>
        <w:rPr>
          <w:rFonts w:hint="eastAsia" w:ascii="宋体" w:hAnsi="宋体" w:cs="宋体"/>
          <w:sz w:val="28"/>
          <w:szCs w:val="28"/>
        </w:rPr>
        <w:t>提供至少</w:t>
      </w:r>
      <w:r>
        <w:rPr>
          <w:rFonts w:hint="default" w:ascii="宋体" w:hAnsi="宋体" w:cs="宋体"/>
          <w:sz w:val="28"/>
          <w:szCs w:val="28"/>
        </w:rPr>
        <w:t>2次现场技术培训（每次不少于4学时），培训内容包括实验箱使用、模块连接、典型实验操作、常见故障排查等。</w:t>
      </w:r>
      <w:r>
        <w:rPr>
          <w:rFonts w:hint="eastAsia" w:ascii="宋体" w:hAnsi="宋体" w:cs="宋体"/>
          <w:sz w:val="28"/>
          <w:szCs w:val="28"/>
        </w:rPr>
        <w:t>提供完整的实验指导书、产品使用手册、驱动。</w:t>
      </w:r>
    </w:p>
    <w:p w14:paraId="3E0A703E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19"/>
          <w:szCs w:val="19"/>
          <w:shd w:val="clear" w:fill="FFFFFF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4、资料更新：</w:t>
      </w:r>
      <w:r>
        <w:rPr>
          <w:rFonts w:hint="eastAsia" w:ascii="宋体" w:hAnsi="宋体" w:cs="宋体"/>
          <w:sz w:val="28"/>
          <w:szCs w:val="28"/>
        </w:rPr>
        <w:t>质保期内免费提供所有模块的原理图、硬件接口说明、例程源码的更新版本（如有）。</w:t>
      </w:r>
    </w:p>
    <w:p w14:paraId="122419A3">
      <w:pPr>
        <w:pStyle w:val="1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default" w:ascii="Segoe UI" w:hAnsi="Segoe UI" w:eastAsia="宋体" w:cs="Segoe UI"/>
          <w:i w:val="0"/>
          <w:iCs w:val="0"/>
          <w:caps w:val="0"/>
          <w:color w:val="0F1115"/>
          <w:spacing w:val="0"/>
          <w:sz w:val="19"/>
          <w:szCs w:val="19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lang w:val="en-US" w:eastAsia="zh-CN" w:bidi="ar-SA"/>
        </w:rPr>
        <w:t>七、付款方式：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验收合格后付95%，5%质保金。</w:t>
      </w:r>
    </w:p>
    <w:p w14:paraId="1A581E30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八、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报名登记及磋商文件获取方法</w:t>
      </w:r>
    </w:p>
    <w:p w14:paraId="54E0A7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1、凡有意参加者，请派代表于</w:t>
      </w:r>
      <w:r>
        <w:rPr>
          <w:rFonts w:hint="eastAsia" w:ascii="宋体" w:hAnsi="宋体" w:cs="宋体"/>
          <w:color w:val="0000FF"/>
          <w:sz w:val="28"/>
          <w:szCs w:val="28"/>
          <w:u w:val="single"/>
        </w:rPr>
        <w:t>202</w:t>
      </w:r>
      <w:r>
        <w:rPr>
          <w:rFonts w:hint="eastAsia" w:ascii="宋体" w:hAnsi="宋体" w:cs="宋体"/>
          <w:color w:val="0000FF"/>
          <w:sz w:val="28"/>
          <w:szCs w:val="28"/>
          <w:u w:val="single"/>
          <w:lang w:val="en-US" w:eastAsia="zh-CN"/>
        </w:rPr>
        <w:t>6</w:t>
      </w:r>
      <w:r>
        <w:rPr>
          <w:rFonts w:hint="eastAsia" w:ascii="宋体" w:hAnsi="宋体" w:cs="宋体"/>
          <w:color w:val="0000FF"/>
          <w:sz w:val="28"/>
          <w:szCs w:val="28"/>
          <w:u w:val="single"/>
        </w:rPr>
        <w:t>年</w:t>
      </w:r>
      <w:r>
        <w:rPr>
          <w:rFonts w:hint="eastAsia" w:ascii="宋体" w:hAnsi="宋体" w:cs="宋体"/>
          <w:color w:val="0000FF"/>
          <w:sz w:val="28"/>
          <w:szCs w:val="28"/>
          <w:u w:val="single"/>
          <w:lang w:val="en-US" w:eastAsia="zh-CN"/>
        </w:rPr>
        <w:t>4</w:t>
      </w:r>
      <w:r>
        <w:rPr>
          <w:rFonts w:hint="eastAsia" w:ascii="宋体" w:hAnsi="宋体" w:cs="宋体"/>
          <w:color w:val="0000FF"/>
          <w:sz w:val="28"/>
          <w:szCs w:val="28"/>
          <w:u w:val="single"/>
        </w:rPr>
        <w:t>月</w:t>
      </w:r>
      <w:r>
        <w:rPr>
          <w:rFonts w:hint="eastAsia" w:ascii="宋体" w:hAnsi="宋体" w:cs="宋体"/>
          <w:color w:val="0000FF"/>
          <w:sz w:val="28"/>
          <w:szCs w:val="28"/>
          <w:u w:val="single"/>
          <w:lang w:val="en-US" w:eastAsia="zh-CN"/>
        </w:rPr>
        <w:t>14</w:t>
      </w:r>
      <w:r>
        <w:rPr>
          <w:rFonts w:hint="eastAsia" w:ascii="宋体" w:hAnsi="宋体" w:cs="宋体"/>
          <w:color w:val="0000FF"/>
          <w:sz w:val="28"/>
          <w:szCs w:val="28"/>
          <w:u w:val="single"/>
        </w:rPr>
        <w:t>日</w:t>
      </w:r>
      <w:r>
        <w:rPr>
          <w:rFonts w:hint="eastAsia" w:ascii="宋体" w:hAnsi="宋体" w:cs="宋体"/>
          <w:color w:val="0000FF"/>
          <w:sz w:val="28"/>
          <w:szCs w:val="28"/>
        </w:rPr>
        <w:t>至</w:t>
      </w:r>
      <w:r>
        <w:rPr>
          <w:rFonts w:hint="eastAsia" w:ascii="宋体" w:hAnsi="宋体" w:cs="宋体"/>
          <w:color w:val="0000FF"/>
          <w:sz w:val="28"/>
          <w:szCs w:val="28"/>
          <w:u w:val="single"/>
        </w:rPr>
        <w:t>202</w:t>
      </w:r>
      <w:r>
        <w:rPr>
          <w:rFonts w:hint="eastAsia" w:ascii="宋体" w:hAnsi="宋体" w:cs="宋体"/>
          <w:color w:val="0000FF"/>
          <w:sz w:val="28"/>
          <w:szCs w:val="28"/>
          <w:u w:val="single"/>
          <w:lang w:val="en-US" w:eastAsia="zh-CN"/>
        </w:rPr>
        <w:t>6</w:t>
      </w:r>
      <w:r>
        <w:rPr>
          <w:rFonts w:hint="eastAsia" w:ascii="宋体" w:hAnsi="宋体" w:cs="宋体"/>
          <w:color w:val="0000FF"/>
          <w:sz w:val="28"/>
          <w:szCs w:val="28"/>
          <w:u w:val="single"/>
        </w:rPr>
        <w:t>年</w:t>
      </w:r>
      <w:r>
        <w:rPr>
          <w:rFonts w:hint="eastAsia" w:ascii="宋体" w:hAnsi="宋体" w:cs="宋体"/>
          <w:color w:val="0000FF"/>
          <w:sz w:val="28"/>
          <w:szCs w:val="28"/>
          <w:u w:val="single"/>
          <w:lang w:val="en-US" w:eastAsia="zh-CN"/>
        </w:rPr>
        <w:t>4</w:t>
      </w:r>
      <w:r>
        <w:rPr>
          <w:rFonts w:hint="eastAsia" w:ascii="宋体" w:hAnsi="宋体" w:cs="宋体"/>
          <w:color w:val="0000FF"/>
          <w:sz w:val="28"/>
          <w:szCs w:val="28"/>
          <w:u w:val="single"/>
        </w:rPr>
        <w:t>月</w:t>
      </w:r>
      <w:r>
        <w:rPr>
          <w:rFonts w:hint="eastAsia" w:ascii="宋体" w:hAnsi="宋体" w:cs="宋体"/>
          <w:color w:val="0000FF"/>
          <w:sz w:val="28"/>
          <w:szCs w:val="28"/>
          <w:u w:val="single"/>
          <w:lang w:val="en-US" w:eastAsia="zh-CN"/>
        </w:rPr>
        <w:t>22</w:t>
      </w:r>
      <w:r>
        <w:rPr>
          <w:rFonts w:hint="eastAsia" w:ascii="宋体" w:hAnsi="宋体" w:cs="宋体"/>
          <w:color w:val="0000FF"/>
          <w:sz w:val="28"/>
          <w:szCs w:val="28"/>
          <w:u w:val="single"/>
        </w:rPr>
        <w:t xml:space="preserve"> 日</w:t>
      </w:r>
      <w:r>
        <w:rPr>
          <w:rFonts w:hint="eastAsia" w:ascii="宋体" w:hAnsi="宋体" w:cs="宋体"/>
          <w:color w:val="0000FF"/>
          <w:sz w:val="28"/>
          <w:szCs w:val="28"/>
        </w:rPr>
        <w:t>（法定节假日、公休日除外），</w:t>
      </w:r>
      <w:r>
        <w:rPr>
          <w:rFonts w:hint="eastAsia" w:ascii="宋体" w:hAnsi="宋体" w:cs="宋体"/>
          <w:sz w:val="28"/>
          <w:szCs w:val="28"/>
        </w:rPr>
        <w:t>每日上午9时至12时，下午14时至17时（北京时间，下同），在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武昌理工学院行政楼五楼办公室报名或者通过邮箱</w:t>
      </w:r>
      <w:r>
        <w:rPr>
          <w:rStyle w:val="18"/>
          <w:rFonts w:hint="eastAsia"/>
          <w:sz w:val="28"/>
          <w:szCs w:val="28"/>
        </w:rPr>
        <w:t>zbb1@wut.edu.cn</w:t>
      </w:r>
      <w:r>
        <w:rPr>
          <w:rStyle w:val="18"/>
          <w:rFonts w:hint="eastAsia"/>
          <w:color w:val="auto"/>
          <w:sz w:val="28"/>
          <w:szCs w:val="28"/>
          <w:u w:val="none"/>
        </w:rPr>
        <w:t>报名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并购买招标文件（</w:t>
      </w:r>
      <w:r>
        <w:rPr>
          <w:rFonts w:hint="eastAsia" w:ascii="宋体" w:hAnsi="宋体" w:cs="宋体"/>
          <w:color w:val="0000FF"/>
          <w:kern w:val="0"/>
          <w:sz w:val="28"/>
          <w:szCs w:val="28"/>
        </w:rPr>
        <w:t>0元/份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）</w:t>
      </w:r>
      <w:r>
        <w:rPr>
          <w:rFonts w:hint="eastAsia" w:ascii="宋体" w:hAnsi="宋体" w:cs="宋体"/>
          <w:sz w:val="28"/>
          <w:szCs w:val="28"/>
        </w:rPr>
        <w:t>。</w:t>
      </w:r>
    </w:p>
    <w:p w14:paraId="1C8D3342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2、同时，报名需提供以下资料：</w:t>
      </w:r>
    </w:p>
    <w:p w14:paraId="2F637DE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① 企业法定代表人身份证明或法定代表人授权委托书及本人身份证；</w:t>
      </w:r>
    </w:p>
    <w:p w14:paraId="0681B661">
      <w:pPr>
        <w:pStyle w:val="19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Chars="200"/>
        <w:jc w:val="lef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0000FF"/>
          <w:sz w:val="28"/>
          <w:szCs w:val="28"/>
        </w:rPr>
        <w:t>②</w:t>
      </w:r>
      <w:r>
        <w:rPr>
          <w:rFonts w:hint="eastAsia" w:ascii="宋体" w:hAnsi="宋体" w:cs="宋体"/>
          <w:color w:val="0000FF"/>
          <w:sz w:val="28"/>
          <w:szCs w:val="28"/>
        </w:rPr>
        <w:t>若通过邮箱报名，邮件名称写明项目名称及公司名称，邮件内容中包含项目负责人及其联系方式。</w:t>
      </w:r>
    </w:p>
    <w:p w14:paraId="76D3B3F8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jc w:val="left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</w:rPr>
        <w:t>3、投标单位若对项目有问题，可通过邮件将问题发送至指定邮箱，截止时间为</w:t>
      </w:r>
      <w:r>
        <w:rPr>
          <w:rFonts w:hint="eastAsia" w:ascii="宋体" w:hAnsi="宋体" w:cs="宋体"/>
          <w:color w:val="0000FF"/>
          <w:sz w:val="28"/>
          <w:szCs w:val="28"/>
        </w:rPr>
        <w:t>202</w:t>
      </w:r>
      <w:r>
        <w:rPr>
          <w:rFonts w:hint="eastAsia" w:ascii="宋体" w:hAnsi="宋体" w:cs="宋体"/>
          <w:color w:val="0000FF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color w:val="0000FF"/>
          <w:sz w:val="28"/>
          <w:szCs w:val="28"/>
        </w:rPr>
        <w:t xml:space="preserve"> 年 </w:t>
      </w:r>
      <w:r>
        <w:rPr>
          <w:rFonts w:hint="eastAsia" w:ascii="宋体" w:hAnsi="宋体" w:cs="宋体"/>
          <w:color w:val="0000FF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color w:val="0000FF"/>
          <w:sz w:val="28"/>
          <w:szCs w:val="28"/>
        </w:rPr>
        <w:t>月</w:t>
      </w:r>
      <w:r>
        <w:rPr>
          <w:rFonts w:hint="eastAsia" w:ascii="宋体" w:hAnsi="宋体" w:cs="宋体"/>
          <w:color w:val="0000FF"/>
          <w:sz w:val="28"/>
          <w:szCs w:val="28"/>
          <w:lang w:val="en-US" w:eastAsia="zh-CN"/>
        </w:rPr>
        <w:t>20</w:t>
      </w:r>
      <w:r>
        <w:rPr>
          <w:rFonts w:hint="eastAsia" w:ascii="宋体" w:hAnsi="宋体" w:cs="宋体"/>
          <w:color w:val="0000FF"/>
          <w:sz w:val="28"/>
          <w:szCs w:val="28"/>
        </w:rPr>
        <w:t>日 18 时整，招标单位统一在202</w:t>
      </w:r>
      <w:r>
        <w:rPr>
          <w:rFonts w:hint="eastAsia" w:ascii="宋体" w:hAnsi="宋体" w:cs="宋体"/>
          <w:color w:val="0000FF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color w:val="0000FF"/>
          <w:sz w:val="28"/>
          <w:szCs w:val="28"/>
        </w:rPr>
        <w:t xml:space="preserve"> 年</w:t>
      </w:r>
      <w:r>
        <w:rPr>
          <w:rFonts w:hint="eastAsia" w:ascii="宋体" w:hAnsi="宋体" w:cs="宋体"/>
          <w:color w:val="0000FF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color w:val="0000FF"/>
          <w:sz w:val="28"/>
          <w:szCs w:val="28"/>
        </w:rPr>
        <w:t xml:space="preserve"> 月</w:t>
      </w:r>
      <w:r>
        <w:rPr>
          <w:rFonts w:hint="eastAsia" w:ascii="宋体" w:hAnsi="宋体" w:cs="宋体"/>
          <w:color w:val="0000FF"/>
          <w:sz w:val="28"/>
          <w:szCs w:val="28"/>
          <w:lang w:val="en-US" w:eastAsia="zh-CN"/>
        </w:rPr>
        <w:t>21</w:t>
      </w:r>
      <w:r>
        <w:rPr>
          <w:rFonts w:hint="eastAsia" w:ascii="宋体" w:hAnsi="宋体" w:cs="宋体"/>
          <w:color w:val="0000FF"/>
          <w:sz w:val="28"/>
          <w:szCs w:val="28"/>
        </w:rPr>
        <w:t>日 17 时前回复</w:t>
      </w:r>
      <w:r>
        <w:rPr>
          <w:rFonts w:hint="eastAsia" w:ascii="宋体" w:hAnsi="宋体" w:cs="宋体"/>
          <w:sz w:val="28"/>
          <w:szCs w:val="28"/>
        </w:rPr>
        <w:t>，答疑邮箱：</w:t>
      </w:r>
      <w:r>
        <w:fldChar w:fldCharType="begin"/>
      </w:r>
      <w:r>
        <w:instrText xml:space="preserve"> HYPERLINK "mailto:zbb@wut.edu.cn。" </w:instrText>
      </w:r>
      <w:r>
        <w:fldChar w:fldCharType="separate"/>
      </w:r>
      <w:r>
        <w:rPr>
          <w:rStyle w:val="18"/>
          <w:rFonts w:hint="eastAsia"/>
          <w:sz w:val="28"/>
          <w:szCs w:val="28"/>
        </w:rPr>
        <w:t>zbb1@wut.edu.cn</w:t>
      </w:r>
      <w:r>
        <w:rPr>
          <w:rStyle w:val="18"/>
          <w:rFonts w:hint="eastAsia" w:ascii="宋体" w:hAnsi="宋体" w:cs="宋体"/>
          <w:sz w:val="28"/>
          <w:szCs w:val="28"/>
        </w:rPr>
        <w:t>。</w:t>
      </w:r>
      <w:r>
        <w:rPr>
          <w:rStyle w:val="18"/>
          <w:rFonts w:hint="eastAsia" w:ascii="宋体" w:hAnsi="宋体" w:cs="宋体"/>
          <w:sz w:val="28"/>
          <w:szCs w:val="28"/>
        </w:rPr>
        <w:fldChar w:fldCharType="end"/>
      </w:r>
    </w:p>
    <w:p w14:paraId="09A9A7FC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ascii="宋体" w:hAnsi="宋体" w:cs="宋体"/>
          <w:b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九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、投标文件制作、投递相关要求</w:t>
      </w:r>
    </w:p>
    <w:p w14:paraId="569A3F7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1、投标文件格式</w:t>
      </w:r>
    </w:p>
    <w:p w14:paraId="2028B2D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（1）封面：格式自拟；</w:t>
      </w:r>
    </w:p>
    <w:p w14:paraId="45826457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（2）目录：为方便评标，请投标人认真编制投标文件目录及页码。</w:t>
      </w:r>
    </w:p>
    <w:p w14:paraId="0BA5D85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（3）报价一览表：格式自拟。</w:t>
      </w:r>
    </w:p>
    <w:p w14:paraId="59E7739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（4）分项报价表：格式自拟。</w:t>
      </w:r>
    </w:p>
    <w:p w14:paraId="3E754E05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（5）法定代表人身份证明：格式自拟。</w:t>
      </w:r>
    </w:p>
    <w:p w14:paraId="33896C9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（6）授权委托书：格式自拟。</w:t>
      </w:r>
    </w:p>
    <w:p w14:paraId="4566FA2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（7）近三年高校成功案例：需附合同复印件。</w:t>
      </w:r>
    </w:p>
    <w:p w14:paraId="606E98C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（8）商务和技术偏离表：格式自拟。</w:t>
      </w:r>
    </w:p>
    <w:p w14:paraId="00DB044B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（9）投标人声明：格式自拟，需附“信用中国”网站截图。</w:t>
      </w:r>
    </w:p>
    <w:p w14:paraId="666B74E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（10）技术响应方案：包含但不限于调试、培训、售后等。</w:t>
      </w:r>
    </w:p>
    <w:p w14:paraId="46A7BCC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（11）其它资料：投标人认为需要提交的其它资料，格式自拟。</w:t>
      </w:r>
    </w:p>
    <w:p w14:paraId="4F2C2BF1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280" w:firstLineChars="100"/>
        <w:jc w:val="left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2、投标文件原则上一正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二</w:t>
      </w:r>
      <w:r>
        <w:rPr>
          <w:rFonts w:hint="eastAsia" w:ascii="宋体" w:hAnsi="宋体" w:cs="宋体"/>
          <w:kern w:val="0"/>
          <w:sz w:val="28"/>
          <w:szCs w:val="28"/>
        </w:rPr>
        <w:t>副，保证密封完整。若邮寄，请用牛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皮</w:t>
      </w:r>
      <w:r>
        <w:rPr>
          <w:rFonts w:hint="eastAsia" w:ascii="宋体" w:hAnsi="宋体" w:cs="宋体"/>
          <w:kern w:val="0"/>
          <w:sz w:val="28"/>
          <w:szCs w:val="28"/>
        </w:rPr>
        <w:t>纸包装完好，避免运输中破损。</w:t>
      </w:r>
    </w:p>
    <w:p w14:paraId="129ABB72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280" w:firstLineChars="100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</w:rPr>
        <w:t>3、请于</w:t>
      </w:r>
      <w:r>
        <w:rPr>
          <w:rFonts w:hint="eastAsia" w:ascii="宋体" w:hAnsi="宋体" w:cs="宋体"/>
          <w:color w:val="0000FF"/>
          <w:kern w:val="0"/>
          <w:sz w:val="28"/>
          <w:szCs w:val="28"/>
        </w:rPr>
        <w:t>202</w:t>
      </w:r>
      <w:r>
        <w:rPr>
          <w:rFonts w:hint="eastAsia" w:ascii="宋体" w:hAnsi="宋体" w:cs="宋体"/>
          <w:color w:val="0000FF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color w:val="0000FF"/>
          <w:kern w:val="0"/>
          <w:sz w:val="28"/>
          <w:szCs w:val="28"/>
        </w:rPr>
        <w:t xml:space="preserve">年 </w:t>
      </w:r>
      <w:r>
        <w:rPr>
          <w:rFonts w:hint="eastAsia" w:ascii="宋体" w:hAnsi="宋体" w:cs="宋体"/>
          <w:color w:val="0000FF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color w:val="0000FF"/>
          <w:kern w:val="0"/>
          <w:sz w:val="28"/>
          <w:szCs w:val="28"/>
        </w:rPr>
        <w:t xml:space="preserve">月 </w:t>
      </w:r>
      <w:r>
        <w:rPr>
          <w:rFonts w:hint="eastAsia" w:ascii="宋体" w:hAnsi="宋体" w:cs="宋体"/>
          <w:color w:val="0000FF"/>
          <w:kern w:val="0"/>
          <w:sz w:val="28"/>
          <w:szCs w:val="28"/>
          <w:lang w:val="en-US" w:eastAsia="zh-CN"/>
        </w:rPr>
        <w:t>24</w:t>
      </w:r>
      <w:r>
        <w:rPr>
          <w:rFonts w:hint="eastAsia" w:ascii="宋体" w:hAnsi="宋体" w:cs="宋体"/>
          <w:color w:val="0000FF"/>
          <w:kern w:val="0"/>
          <w:sz w:val="28"/>
          <w:szCs w:val="28"/>
        </w:rPr>
        <w:t>日17:00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之前送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达或邮寄至：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 xml:space="preserve">武昌理工学院行政楼五楼招标办张老师处（邮寄亦可）。 </w:t>
      </w:r>
    </w:p>
    <w:p w14:paraId="288C3EA9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ascii="宋体" w:hAnsi="宋体" w:cs="宋体"/>
          <w:b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十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、开标时间及地点</w:t>
      </w:r>
    </w:p>
    <w:p w14:paraId="4B0DE733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jc w:val="left"/>
        <w:textAlignment w:val="auto"/>
        <w:rPr>
          <w:rFonts w:ascii="宋体" w:hAnsi="宋体" w:cs="宋体"/>
          <w:color w:val="0000FF"/>
          <w:kern w:val="0"/>
          <w:sz w:val="28"/>
          <w:szCs w:val="28"/>
        </w:rPr>
      </w:pPr>
      <w:r>
        <w:rPr>
          <w:rFonts w:hint="eastAsia" w:ascii="宋体" w:hAnsi="宋体" w:cs="宋体"/>
          <w:bCs/>
          <w:color w:val="0000FF"/>
          <w:kern w:val="0"/>
          <w:sz w:val="28"/>
          <w:szCs w:val="28"/>
        </w:rPr>
        <w:t>时间：另行通知</w:t>
      </w:r>
    </w:p>
    <w:p w14:paraId="293E7744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560" w:firstLineChars="200"/>
        <w:jc w:val="left"/>
        <w:textAlignment w:val="auto"/>
        <w:rPr>
          <w:rFonts w:ascii="宋体" w:hAnsi="宋体" w:cs="宋体"/>
          <w:color w:val="0000FF"/>
          <w:kern w:val="0"/>
          <w:sz w:val="28"/>
          <w:szCs w:val="28"/>
        </w:rPr>
      </w:pPr>
      <w:r>
        <w:rPr>
          <w:rFonts w:hint="eastAsia" w:ascii="宋体" w:hAnsi="宋体" w:cs="宋体"/>
          <w:color w:val="0000FF"/>
          <w:kern w:val="0"/>
          <w:sz w:val="28"/>
          <w:szCs w:val="28"/>
        </w:rPr>
        <w:t>地点：暂定武昌理工学院行政楼五楼会议室</w:t>
      </w:r>
    </w:p>
    <w:p w14:paraId="49F372CB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ascii="宋体" w:hAnsi="宋体" w:cs="宋体"/>
          <w:b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十一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、下列情形之一者为废标</w:t>
      </w:r>
    </w:p>
    <w:p w14:paraId="7945DF0C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1、投标文件的内容和招标文件有实质性背离的；</w:t>
      </w:r>
    </w:p>
    <w:p w14:paraId="6BB612D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2、投标文件在投标截止时间后送达的；</w:t>
      </w:r>
    </w:p>
    <w:p w14:paraId="25D6BD9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/>
        <w:textAlignment w:val="auto"/>
      </w:pPr>
      <w:r>
        <w:rPr>
          <w:rFonts w:hint="eastAsia" w:ascii="宋体" w:hAnsi="宋体" w:cs="宋体"/>
          <w:sz w:val="28"/>
          <w:szCs w:val="28"/>
        </w:rPr>
        <w:t>3、投标文件没有密封送达的；</w:t>
      </w:r>
    </w:p>
    <w:p w14:paraId="3E4C5DF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4、报价明显背离市场合理价位的；</w:t>
      </w:r>
    </w:p>
    <w:p w14:paraId="63719129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420" w:leftChars="200"/>
        <w:textAlignment w:val="auto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5、围标、串标的为无效投标。</w:t>
      </w:r>
    </w:p>
    <w:p w14:paraId="180EEB4D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ascii="宋体" w:hAnsi="宋体" w:cs="宋体"/>
          <w:b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十二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、联系电话及地址</w:t>
      </w:r>
    </w:p>
    <w:p w14:paraId="3E3552A6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60" w:firstLineChars="200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招标办：027-8165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2315</w:t>
      </w:r>
      <w:r>
        <w:rPr>
          <w:rFonts w:hint="eastAsia" w:ascii="宋体" w:hAnsi="宋体" w:cs="宋体"/>
          <w:kern w:val="0"/>
          <w:sz w:val="28"/>
          <w:szCs w:val="28"/>
        </w:rPr>
        <w:t xml:space="preserve">/18162688083张老师 </w:t>
      </w:r>
    </w:p>
    <w:p w14:paraId="7C7051A3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60" w:firstLineChars="200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监督投诉电话及邮箱： 027-81652022  zbb2@wut.edu.cn</w:t>
      </w:r>
    </w:p>
    <w:p w14:paraId="3478C303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60" w:firstLineChars="200"/>
        <w:textAlignment w:val="auto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招标办地址：武汉市江夏区江夏大道16号武昌理工学院行政楼五楼招标办</w:t>
      </w:r>
    </w:p>
    <w:p w14:paraId="5F50FB22"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十三、其它</w:t>
      </w:r>
    </w:p>
    <w:p w14:paraId="71C5B4E8">
      <w:pPr>
        <w:pStyle w:val="6"/>
        <w:numPr>
          <w:ilvl w:val="0"/>
          <w:numId w:val="0"/>
        </w:numPr>
        <w:jc w:val="both"/>
        <w:rPr>
          <w:rFonts w:hint="default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所有解释权归属招标人。</w:t>
      </w:r>
    </w:p>
    <w:p w14:paraId="1AF03B8F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40" w:firstLineChars="2300"/>
        <w:textAlignment w:val="auto"/>
        <w:rPr>
          <w:rFonts w:hint="eastAsia" w:ascii="宋体" w:hAnsi="宋体" w:cs="宋体"/>
          <w:kern w:val="0"/>
          <w:sz w:val="28"/>
          <w:szCs w:val="28"/>
        </w:rPr>
      </w:pPr>
    </w:p>
    <w:p w14:paraId="5FB286E0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40" w:firstLineChars="2300"/>
        <w:textAlignment w:val="auto"/>
        <w:rPr>
          <w:rFonts w:hint="eastAsia" w:ascii="宋体" w:hAnsi="宋体" w:cs="宋体"/>
          <w:kern w:val="0"/>
          <w:sz w:val="28"/>
          <w:szCs w:val="28"/>
        </w:rPr>
      </w:pPr>
    </w:p>
    <w:p w14:paraId="69008A36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40" w:firstLineChars="2300"/>
        <w:textAlignment w:val="auto"/>
        <w:rPr>
          <w:rFonts w:hint="eastAsia" w:ascii="宋体" w:hAnsi="宋体" w:cs="宋体"/>
          <w:kern w:val="0"/>
          <w:sz w:val="28"/>
          <w:szCs w:val="28"/>
        </w:rPr>
      </w:pPr>
    </w:p>
    <w:p w14:paraId="5CF6448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宋体" w:hAnsi="宋体" w:cs="宋体"/>
          <w:kern w:val="0"/>
          <w:sz w:val="28"/>
          <w:szCs w:val="28"/>
        </w:rPr>
      </w:pPr>
    </w:p>
    <w:p w14:paraId="7CE174F1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5600" w:firstLineChars="2000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武昌理工学院</w:t>
      </w:r>
      <w:r>
        <w:rPr>
          <w:rFonts w:hint="eastAsia" w:ascii="宋体" w:hAnsi="宋体" w:cs="宋体"/>
          <w:kern w:val="0"/>
          <w:sz w:val="28"/>
          <w:szCs w:val="28"/>
        </w:rPr>
        <w:t>招标办</w:t>
      </w:r>
    </w:p>
    <w:p w14:paraId="4D2E12B3">
      <w:pPr>
        <w:pStyle w:val="19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           202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cs="宋体"/>
          <w:kern w:val="0"/>
          <w:sz w:val="28"/>
          <w:szCs w:val="28"/>
        </w:rPr>
        <w:t>年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kern w:val="0"/>
          <w:sz w:val="28"/>
          <w:szCs w:val="28"/>
        </w:rPr>
        <w:t>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10</w:t>
      </w:r>
      <w:r>
        <w:rPr>
          <w:rFonts w:hint="eastAsia" w:ascii="宋体" w:hAnsi="宋体" w:cs="宋体"/>
          <w:kern w:val="0"/>
          <w:sz w:val="28"/>
          <w:szCs w:val="28"/>
        </w:rPr>
        <w:t>日</w:t>
      </w:r>
    </w:p>
    <w:p w14:paraId="7EACDF5A">
      <w:pPr>
        <w:bidi w:val="0"/>
        <w:jc w:val="left"/>
      </w:pPr>
    </w:p>
    <w:p w14:paraId="75990B56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center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武昌理工学院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单片机技术及应用实验室设备更新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项目邀请招标文件</w:t>
      </w:r>
    </w:p>
    <w:p w14:paraId="6EDE3B2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项目编号：WCLG202601292850027</w:t>
      </w:r>
    </w:p>
    <w:p w14:paraId="02720C54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招标人：武昌理工学院</w:t>
      </w:r>
    </w:p>
    <w:p w14:paraId="2A9069DC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招标方式：邀请招标</w:t>
      </w:r>
    </w:p>
    <w:p w14:paraId="00E32C5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default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文件版本：通用版（无指定性技术指向）</w:t>
      </w:r>
    </w:p>
    <w:p w14:paraId="2A20A82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编制日期：2026 年 4 月</w:t>
      </w:r>
    </w:p>
    <w:p w14:paraId="7D1E5F1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第一章 投标人须知</w:t>
      </w:r>
    </w:p>
    <w:p w14:paraId="66EAE50B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-720" w:leftChars="0" w:right="0" w:rightChars="0" w:firstLine="723" w:firstLineChars="30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一、总则</w:t>
      </w:r>
    </w:p>
    <w:p w14:paraId="4B1D075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本招标文件适用于武昌理工学院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单片机技术及应用实验室设备更新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项目（项目编号：</w:t>
      </w: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WCLG202601292850027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）的全部采购内容，包括硬件设备、安装调试、培训、售后及应急保障等，所有要求均为通用型核心需求，无指定性技术指向，确保各符合资质的供应商公平参与投标。</w:t>
      </w:r>
    </w:p>
    <w:p w14:paraId="44CD64F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本项目采购目标为：建设一间集教学、科研、技能实训于一体的单片机综合实验平台，支持21项实验项目及综合设计实训，强化学生硬件接口设计与编程能力，满足电子信息类高素质应用型人才培养需求。</w:t>
      </w:r>
    </w:p>
    <w:p w14:paraId="3BF8591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投标人须完全响应本招标文件的</w:t>
      </w: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</w:rPr>
        <w:t>全部条款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，对条款的任何偏离均需在投标文件中明确说明；未说明或偏离核心要求的，符合性审查视为不合格。</w:t>
      </w:r>
    </w:p>
    <w:p w14:paraId="7D54ED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default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投标报价为</w:t>
      </w: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</w:rPr>
        <w:t>全包价（含税）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，包含设备采购、运输、安装调试、培训、质保服务、技术支持、税费等所有费用，</w:t>
      </w:r>
      <w:r>
        <w:rPr>
          <w:rFonts w:hint="default" w:ascii="宋体" w:hAnsi="宋体" w:eastAsia="宋体" w:cs="宋体"/>
          <w:color w:val="1F2329"/>
          <w:sz w:val="24"/>
          <w:szCs w:val="24"/>
        </w:rPr>
        <w:t>不含Keil、Proteus软件。</w:t>
      </w:r>
    </w:p>
    <w:p w14:paraId="488C14F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本项目不接受联合体投标，不允许分包、转包，投标人须自行完成全部项目内容。</w:t>
      </w:r>
    </w:p>
    <w:p w14:paraId="53F819D7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二、招标文件组成</w:t>
      </w:r>
    </w:p>
    <w:p w14:paraId="6E9F297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  <w:t>1、邀请招标公告；</w:t>
      </w:r>
    </w:p>
    <w:p w14:paraId="2FE2441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  <w:t>2、投标人须知；</w:t>
      </w:r>
    </w:p>
    <w:p w14:paraId="61E0C29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项目通用需求（核心技术、硬件、服务要求）；</w:t>
      </w:r>
    </w:p>
    <w:p w14:paraId="42D604A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评标办法（综合评分法）；</w:t>
      </w:r>
    </w:p>
    <w:p w14:paraId="32693B8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合同主要条款（通用版）；</w:t>
      </w:r>
    </w:p>
    <w:p w14:paraId="45A8F9B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投标文件格式。</w:t>
      </w:r>
    </w:p>
    <w:p w14:paraId="7DB565C7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三、投标文件编制要求</w:t>
      </w:r>
    </w:p>
    <w:p w14:paraId="4E97BBC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投标文件使用</w:t>
      </w: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</w:rPr>
        <w:t>中文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编制，计量单位采用国家法定标准。</w:t>
      </w:r>
    </w:p>
    <w:p w14:paraId="361BC6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投标文件需按本招标文件第六章 “投标文件格式” 编制，内容完整、字迹清晰，正副本内容一致，电子版与纸质版一致。</w:t>
      </w:r>
    </w:p>
    <w:p w14:paraId="0105111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所有资质证明、业绩材料、报价单等均需加盖投标人公章，复印件需清晰可辨，否则视为无效材料。</w:t>
      </w:r>
    </w:p>
    <w:p w14:paraId="35E312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投标文件需标注项目编号</w:t>
      </w: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WCLG202601292850027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，未标注或标注错误的，视为无效投标。</w:t>
      </w:r>
    </w:p>
    <w:p w14:paraId="1A8B0F7C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cs="宋体"/>
          <w:color w:val="1F2329"/>
          <w:sz w:val="24"/>
          <w:szCs w:val="24"/>
          <w:lang w:val="en-US" w:eastAsia="zh-CN"/>
        </w:rPr>
        <w:t>四、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投标文件的递交与修改</w:t>
      </w:r>
    </w:p>
    <w:p w14:paraId="48787A1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投标文件逾期递交的招标人不予受理。</w:t>
      </w:r>
    </w:p>
    <w:p w14:paraId="7B87050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投标人在投标截止时间前可对已递交的投标文件进行修改或撤回，修改后的投标文件需按本文件要求密封并标注 “修改” 字样；投标截止时间后，不得修改或撤回投标文件。</w:t>
      </w:r>
    </w:p>
    <w:p w14:paraId="6B82AC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第二章 项目通用需求</w:t>
      </w:r>
    </w:p>
    <w:p w14:paraId="2FC2148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本章节为项目通用核心需求，无指定性技术模块、设备型号或实现方式要求。</w:t>
      </w:r>
    </w:p>
    <w:p w14:paraId="7D56B1A6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一、总体使用需求</w:t>
      </w:r>
    </w:p>
    <w:p w14:paraId="2193906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0000FF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0000FF"/>
          <w:sz w:val="24"/>
          <w:szCs w:val="24"/>
        </w:rPr>
        <w:t>实验平台须采用“核心板+统一尺寸扩展板”架构，所有功能模块为统一尺寸、统一接口，可在实验箱内自由调换摆放和固定。</w:t>
      </w:r>
    </w:p>
    <w:p w14:paraId="0CD3538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0000FF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0000FF"/>
          <w:sz w:val="24"/>
          <w:szCs w:val="24"/>
        </w:rPr>
        <w:t>各模块开放数据采集/控制接口，通过香蕉插头连接线与微处理器模块连接。</w:t>
      </w:r>
    </w:p>
    <w:p w14:paraId="018BAAA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0000FF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0000FF"/>
          <w:sz w:val="24"/>
          <w:szCs w:val="24"/>
        </w:rPr>
        <w:t>仿真器与实验平台分离，支持脱机运行。</w:t>
      </w:r>
    </w:p>
    <w:p w14:paraId="3451A0F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0000FF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4、</w:t>
      </w:r>
      <w:r>
        <w:rPr>
          <w:rFonts w:ascii="Segoe UI" w:hAnsi="Segoe UI" w:eastAsia="Segoe UI" w:cs="Segoe UI"/>
          <w:i w:val="0"/>
          <w:iCs w:val="0"/>
          <w:caps w:val="0"/>
          <w:color w:val="0000FF"/>
          <w:spacing w:val="0"/>
          <w:sz w:val="19"/>
          <w:szCs w:val="19"/>
          <w:shd w:val="clear" w:fill="FFFFFF"/>
        </w:rPr>
        <w:t> </w:t>
      </w:r>
      <w:r>
        <w:rPr>
          <w:rFonts w:hint="default" w:ascii="宋体" w:hAnsi="宋体" w:eastAsia="宋体" w:cs="宋体"/>
          <w:color w:val="0000FF"/>
          <w:sz w:val="24"/>
          <w:szCs w:val="24"/>
        </w:rPr>
        <w:t>实验箱包含30种以上功能模块，兼容MCS51实验；提供100%资源出让、实时性和无条件硬件断点功能。</w:t>
      </w:r>
    </w:p>
    <w:p w14:paraId="59B55CC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5、</w:t>
      </w:r>
      <w:r>
        <w:rPr>
          <w:rFonts w:hint="default" w:ascii="宋体" w:hAnsi="宋体" w:eastAsia="宋体" w:cs="宋体"/>
          <w:color w:val="0000FF"/>
          <w:sz w:val="24"/>
          <w:szCs w:val="24"/>
        </w:rPr>
        <w:t>所有硬件必须与Keil C51、Proteus等校方现有软件完全兼容。</w:t>
      </w:r>
    </w:p>
    <w:p w14:paraId="6D685B4F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二、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采购清单及数量</w:t>
      </w:r>
    </w:p>
    <w:p w14:paraId="5223F4F3">
      <w:pPr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同公告中的表格，请注意软件为“校方已有”。</w:t>
      </w:r>
    </w:p>
    <w:p w14:paraId="6474AA4A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default" w:ascii="宋体" w:hAnsi="宋体" w:eastAsia="宋体" w:cs="宋体"/>
          <w:color w:val="1F2329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三、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实验项目支持要求</w:t>
      </w:r>
    </w:p>
    <w:p w14:paraId="1E72E1D4">
      <w:pPr>
        <w:ind w:firstLine="480" w:firstLineChars="200"/>
        <w:rPr>
          <w:rFonts w:hint="eastAsia" w:ascii="宋体" w:hAnsi="宋体" w:eastAsia="宋体" w:cs="宋体"/>
          <w:color w:val="0000FF"/>
          <w:sz w:val="24"/>
          <w:szCs w:val="24"/>
        </w:rPr>
      </w:pPr>
      <w:r>
        <w:rPr>
          <w:rFonts w:hint="eastAsia" w:ascii="宋体" w:hAnsi="宋体" w:eastAsia="宋体" w:cs="宋体"/>
          <w:color w:val="0000FF"/>
          <w:sz w:val="24"/>
          <w:szCs w:val="24"/>
          <w:lang w:val="en-US" w:eastAsia="zh-CN"/>
        </w:rPr>
        <w:t>支持原公告所列21项实验项目（详见公告附表），提供完整的实验指导书、例程源码（C语言）、硬件接口说明。</w:t>
      </w:r>
    </w:p>
    <w:p w14:paraId="44BC489D"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服务与售后通用需求</w:t>
      </w:r>
    </w:p>
    <w:p w14:paraId="194CC5B3">
      <w:pPr>
        <w:numPr>
          <w:ilvl w:val="0"/>
          <w:numId w:val="0"/>
        </w:numPr>
        <w:ind w:leftChars="0"/>
        <w:rPr>
          <w:rFonts w:hint="eastAsia"/>
        </w:rPr>
      </w:pPr>
    </w:p>
    <w:p w14:paraId="0DBE739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</w:pP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1、</w:t>
      </w: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</w:rPr>
        <w:t>安装调试与部署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投标人需安排专业技术团队上门完成实验箱及所有模块的安装、接线检查、通电测试，确保每套设备能正常运行全部实验项目。</w:t>
      </w:r>
    </w:p>
    <w:p w14:paraId="75408ED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</w:pP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2、</w:t>
      </w: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</w:rPr>
        <w:t>人员培训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提供至少2次现场技术培训（每次不少于4学时），提供完整的实验指导书、产品使用手册、驱动及例程源码。</w:t>
      </w:r>
    </w:p>
    <w:p w14:paraId="2367C00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</w:pP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3、</w:t>
      </w: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</w:rPr>
        <w:t>质保服务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：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整体实验系统箱及所有模块质保期不少于3年，自项目验收合格之日起计算。质保期内免费维修或更换，免费提供原理图、接口说明、例程源码更新。</w:t>
      </w:r>
    </w:p>
    <w:p w14:paraId="68331F0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4、</w:t>
      </w: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</w:rPr>
        <w:t>售后服务响应</w:t>
      </w:r>
      <w:r>
        <w:rPr>
          <w:rStyle w:val="17"/>
          <w:rFonts w:hint="default" w:ascii="宋体" w:hAnsi="宋体" w:eastAsia="宋体" w:cs="宋体"/>
          <w:b/>
          <w:bCs/>
          <w:color w:val="1F2329"/>
          <w:sz w:val="24"/>
          <w:szCs w:val="24"/>
        </w:rPr>
        <w:t>：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供应商须在武汉设有常驻售后服务点或授权服务商。接到故障报修后，2小时内响应，24小时内到达现场，一般故障48小时内解决，重大故障72小时内解决。</w:t>
      </w:r>
    </w:p>
    <w:p w14:paraId="23491E5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第三章 评标办法（综合评分法）</w:t>
      </w:r>
    </w:p>
    <w:p w14:paraId="5F88CC63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一、评分总原则</w:t>
      </w:r>
    </w:p>
    <w:p w14:paraId="244E878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本项目采用</w:t>
      </w: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</w:rPr>
        <w:t>综合评分法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，总分 100 分，所有评分标准均为通用要求，无指定性技术指向，仅根据投标人的技术方案、商务实力、售后服务、投标报价进行综合评审。</w:t>
      </w:r>
    </w:p>
    <w:p w14:paraId="41EBE90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评标委员会先对投标人进行</w:t>
      </w: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</w:rPr>
        <w:t>资格审查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和</w:t>
      </w: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</w:rPr>
        <w:t>符合性审查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，任一审查不合格的，不得参与后续评分，投标文件视为无效。</w:t>
      </w:r>
    </w:p>
    <w:p w14:paraId="62C03F3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综合得分相同的，按</w:t>
      </w:r>
      <w:r>
        <w:rPr>
          <w:rStyle w:val="17"/>
          <w:rFonts w:hint="eastAsia" w:ascii="宋体" w:hAnsi="宋体" w:eastAsia="宋体" w:cs="宋体"/>
          <w:b/>
          <w:bCs/>
          <w:color w:val="1F2329"/>
          <w:sz w:val="24"/>
          <w:szCs w:val="24"/>
        </w:rPr>
        <w:t>技术方案评分、售后服务评分、投标报价得分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的顺序依次排序，得分高者优先。</w:t>
      </w:r>
    </w:p>
    <w:p w14:paraId="4739FD60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二、资格审查</w:t>
      </w:r>
    </w:p>
    <w:p w14:paraId="05AA9DE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投标人需同时满足以下所有资格要求，否则资格审查不合格：</w:t>
      </w:r>
    </w:p>
    <w:p w14:paraId="7CF15FC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具有独立承担民事责任的能力，营业执照 / 事业单位法人证书合法有效；</w:t>
      </w:r>
    </w:p>
    <w:p w14:paraId="689C468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提供近 3 年无重大违法经营记录的书面声明（加盖公章）；</w:t>
      </w:r>
    </w:p>
    <w:p w14:paraId="7F0E4EA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近3年拥有至少3所高校同类单片机/嵌入式实验室项目业绩（提供合同复印件）；</w:t>
      </w:r>
    </w:p>
    <w:p w14:paraId="3BF82D6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 xml:space="preserve">投标文件标注项目编号 </w:t>
      </w: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WCLG202601292850027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。</w:t>
      </w:r>
    </w:p>
    <w:p w14:paraId="5EB33D0F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三、符合性审查</w:t>
      </w:r>
    </w:p>
    <w:p w14:paraId="2CF5A09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投标人需同时满足以下所有要求，否则符合性审查不合格：</w:t>
      </w:r>
    </w:p>
    <w:p w14:paraId="3F026FA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完全响应本招标文件 “项目通用需求” ，无负偏离；</w:t>
      </w:r>
    </w:p>
    <w:p w14:paraId="58688AF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投标报价为全包价；</w:t>
      </w:r>
    </w:p>
    <w:p w14:paraId="743B37A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投标文件编制内容完整、签章齐全；</w:t>
      </w:r>
    </w:p>
    <w:p w14:paraId="344046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承诺不转包、不分包，未以联合体形式投标。</w:t>
      </w:r>
    </w:p>
    <w:p w14:paraId="1759029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第四章 合同主要条款（通用版）</w:t>
      </w:r>
    </w:p>
    <w:p w14:paraId="5EBF71E9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一、合同主体</w:t>
      </w:r>
    </w:p>
    <w:p w14:paraId="0BD2C16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甲方：武昌理工学院</w:t>
      </w:r>
    </w:p>
    <w:p w14:paraId="4D3033F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乙方：中标供应商</w:t>
      </w:r>
    </w:p>
    <w:p w14:paraId="7793774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本合同对应项目编号：WCLG202601292850027，所有合同附件均需标注该编号，与本合同具有同等法律效力。</w:t>
      </w:r>
    </w:p>
    <w:p w14:paraId="72AEA05F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二、项目内容与交付</w:t>
      </w:r>
    </w:p>
    <w:p w14:paraId="79D30D0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乙方按招标文件要求和投标文件承诺，向甲方提供单片机实验系统箱及配套模块、安装调试、培训、售后等全流程服务。</w:t>
      </w:r>
    </w:p>
    <w:p w14:paraId="00BDB3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交付时间：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暂定合同签订后45天内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。</w:t>
      </w:r>
    </w:p>
    <w:p w14:paraId="66475C5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交付地点：武昌理工学院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人工智能学院219实验室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。</w:t>
      </w:r>
    </w:p>
    <w:p w14:paraId="76828EC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交付要求：所有设备全新、合格，能完整运行21项实验项目。</w:t>
      </w:r>
    </w:p>
    <w:p w14:paraId="7083E48E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三、验收标准与流程</w:t>
      </w:r>
    </w:p>
    <w:p w14:paraId="35A5797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验收标准：按国家相关标准、招标文件通用需求、投标文件承诺。核心指标：设备数量及型号一致；每套设备能正常完成21项实验项目演示；培训完成且资料齐全。</w:t>
      </w:r>
    </w:p>
    <w:p w14:paraId="7A1CD4B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验收流程：初验→试运行（1个教学周期）→终验。</w:t>
      </w:r>
    </w:p>
    <w:p w14:paraId="0A0C4F8B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四、付款方式</w:t>
      </w:r>
    </w:p>
    <w:p w14:paraId="115A819D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 w:val="0"/>
          <w:color w:val="1F2329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1F2329"/>
          <w:kern w:val="2"/>
          <w:sz w:val="24"/>
          <w:szCs w:val="24"/>
          <w:lang w:val="en-US" w:eastAsia="zh-CN" w:bidi="ar-SA"/>
        </w:rPr>
        <w:t>验收合格后付95%，5%质保金。</w:t>
      </w:r>
    </w:p>
    <w:p w14:paraId="4F6FA4CF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五、质保与售后</w:t>
      </w:r>
    </w:p>
    <w:p w14:paraId="1CBD847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质保期：整体设备质保期不少于3年，自终验合格之日起算。</w:t>
      </w:r>
    </w:p>
    <w:p w14:paraId="64F8BA0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质保期内免费维修、更换、技术支持、培训。</w:t>
      </w:r>
    </w:p>
    <w:p w14:paraId="432B5A8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质保期后，乙方提供终身技术支持，仅收取成本费，且成本费需提前告知甲方并经甲方确认，不高于市场均价。</w:t>
      </w:r>
    </w:p>
    <w:p w14:paraId="4EDEBE6E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六、双方责任</w:t>
      </w:r>
    </w:p>
    <w:p w14:paraId="5405EC7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甲方责任：提供项目实施所需的场地、网络、电源等基础条件；配合乙方完成数据对接、人员培训等工作；按合同约定支付款项。</w:t>
      </w:r>
    </w:p>
    <w:p w14:paraId="595910B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乙方责任：按合同约定完成产品交付、安装调试、培训、售后等全部工作；确保系统运行稳定、数据安全；及时解决系统故障。</w:t>
      </w:r>
    </w:p>
    <w:p w14:paraId="0F4C1147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cs="宋体"/>
          <w:color w:val="1F2329"/>
          <w:sz w:val="24"/>
          <w:szCs w:val="24"/>
          <w:lang w:val="en-US" w:eastAsia="zh-CN"/>
        </w:rPr>
        <w:t>七、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其他</w:t>
      </w:r>
    </w:p>
    <w:p w14:paraId="133A633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cs="宋体"/>
          <w:color w:val="1F2329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1F2329"/>
          <w:kern w:val="2"/>
          <w:sz w:val="24"/>
          <w:szCs w:val="24"/>
          <w:lang w:val="en-US" w:eastAsia="zh-CN" w:bidi="ar-SA"/>
        </w:rPr>
        <w:t>（无）</w:t>
      </w:r>
    </w:p>
    <w:p w14:paraId="46A973F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第五章 投标文件格式</w:t>
      </w:r>
    </w:p>
    <w:p w14:paraId="33EAC908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一、投标文件封面</w:t>
      </w:r>
    </w:p>
    <w:p w14:paraId="33EB0B3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Style w:val="17"/>
          <w:rFonts w:hint="eastAsia" w:ascii="宋体" w:hAnsi="宋体" w:eastAsia="宋体" w:cs="宋体"/>
          <w:b/>
          <w:bCs/>
          <w:color w:val="1F2329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1F2329"/>
          <w:sz w:val="24"/>
          <w:szCs w:val="24"/>
        </w:rPr>
        <w:t>武昌理工学院</w:t>
      </w:r>
      <w:r>
        <w:rPr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单片机技术及应用实验室设备更新</w:t>
      </w:r>
      <w:r>
        <w:rPr>
          <w:rStyle w:val="17"/>
          <w:rFonts w:hint="eastAsia" w:ascii="宋体" w:hAnsi="宋体" w:eastAsia="宋体" w:cs="宋体"/>
          <w:b/>
          <w:bCs/>
          <w:color w:val="1F2329"/>
          <w:kern w:val="0"/>
          <w:sz w:val="24"/>
          <w:szCs w:val="24"/>
          <w:lang w:val="en-US" w:eastAsia="zh-CN" w:bidi="ar"/>
        </w:rPr>
        <w:t>项目投标文件（正 / 副本）</w:t>
      </w:r>
    </w:p>
    <w:p w14:paraId="0535F10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项目编号：WCLG202601292850027</w:t>
      </w:r>
    </w:p>
    <w:p w14:paraId="6614D7C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投标人：（加盖公章）</w:t>
      </w:r>
    </w:p>
    <w:p w14:paraId="3549EBC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日期： 年 月 日</w:t>
      </w:r>
    </w:p>
    <w:p w14:paraId="657B2017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二、投标函</w:t>
      </w:r>
    </w:p>
    <w:p w14:paraId="7270BFF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致：武昌理工学院</w:t>
      </w:r>
    </w:p>
    <w:p w14:paraId="7CEE1F4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我方已仔细阅读</w:t>
      </w:r>
      <w:r>
        <w:rPr>
          <w:rStyle w:val="17"/>
          <w:rFonts w:hint="eastAsia" w:ascii="宋体" w:hAnsi="宋体" w:eastAsia="宋体" w:cs="宋体"/>
          <w:b/>
          <w:bCs/>
          <w:color w:val="1F2329"/>
          <w:kern w:val="0"/>
          <w:sz w:val="24"/>
          <w:szCs w:val="24"/>
          <w:lang w:val="en-US" w:eastAsia="zh-CN" w:bidi="ar"/>
        </w:rPr>
        <w:t xml:space="preserve">项目编号 </w:t>
      </w: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WCLG202601292850027《</w:t>
      </w:r>
      <w:r>
        <w:rPr>
          <w:rFonts w:hint="eastAsia" w:ascii="宋体" w:hAnsi="宋体" w:eastAsia="宋体" w:cs="宋体"/>
          <w:b/>
          <w:bCs/>
          <w:color w:val="1F2329"/>
          <w:sz w:val="24"/>
          <w:szCs w:val="24"/>
        </w:rPr>
        <w:t>武昌理工学院</w:t>
      </w:r>
      <w:r>
        <w:rPr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单片机技术及应用实验室设备更新</w:t>
      </w:r>
      <w:r>
        <w:rPr>
          <w:rStyle w:val="17"/>
          <w:rFonts w:hint="eastAsia" w:ascii="宋体" w:hAnsi="宋体" w:eastAsia="宋体" w:cs="宋体"/>
          <w:b/>
          <w:bCs/>
          <w:color w:val="1F2329"/>
          <w:kern w:val="0"/>
          <w:sz w:val="24"/>
          <w:szCs w:val="24"/>
          <w:lang w:val="en-US" w:eastAsia="zh-CN" w:bidi="ar"/>
        </w:rPr>
        <w:t>项目</w:t>
      </w: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邀请招标文件》的全部内容，自愿参加本项目投标，郑重作出如下承诺：</w:t>
      </w:r>
    </w:p>
    <w:p w14:paraId="621ADA7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本次投标总报价为人民币______万元（大写：______________________________），该报价为全包价，包含硬件、安装调试、培训、售后、税费等所有费用</w:t>
      </w:r>
      <w:r>
        <w:rPr>
          <w:rFonts w:hint="eastAsia" w:ascii="宋体" w:hAnsi="宋体" w:eastAsia="宋体" w:cs="宋体"/>
          <w:color w:val="1F2329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不含Keil、Proteus软件</w:t>
      </w:r>
      <w:r>
        <w:rPr>
          <w:rFonts w:hint="eastAsia" w:ascii="宋体" w:hAnsi="宋体" w:eastAsia="宋体" w:cs="宋体"/>
          <w:color w:val="1F2329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。</w:t>
      </w:r>
    </w:p>
    <w:p w14:paraId="132219F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我方承诺所投产品及服务完全响应本招标文件的全部通用需求，无负偏离</w:t>
      </w:r>
      <w:r>
        <w:rPr>
          <w:rFonts w:hint="eastAsia" w:ascii="宋体" w:hAnsi="宋体" w:eastAsia="宋体" w:cs="宋体"/>
          <w:color w:val="1F2329"/>
          <w:sz w:val="24"/>
          <w:szCs w:val="24"/>
          <w:lang w:eastAsia="zh-CN"/>
        </w:rPr>
        <w:t>。</w:t>
      </w:r>
    </w:p>
    <w:p w14:paraId="40CF94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我方承诺投标有效期为 90 天，在此期间投标文件对我方具有法律约束力，我方将严格遵守招标文件及相关法律法规的约定。</w:t>
      </w:r>
    </w:p>
    <w:p w14:paraId="29BD482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若我方中标，将按招标文件要求和投标文件承诺，在合同签订后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规定时间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内完成全部交付内容，严格履行合同所有义务，提供优质的产品和服务。</w:t>
      </w:r>
    </w:p>
    <w:p w14:paraId="3164AF4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我方承诺所提供的所有资质证明、业绩材料等均真实有效，若存在虚假信息，自愿承担一切法律责任，且甲方有权取消我方投标 / 中标资格。</w:t>
      </w:r>
    </w:p>
    <w:p w14:paraId="44DE729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投标人：（加盖公章）法定代表人 / 授权委托人：（签字或盖章）日期： 年 月 日</w:t>
      </w:r>
    </w:p>
    <w:p w14:paraId="10802C3F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三、法定代表人身份证明</w:t>
      </w:r>
    </w:p>
    <w:p w14:paraId="1CDA7F3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姓名：______ 性别：______ 年龄：______ 职务：______系________________________（投标人名称）的法定代表人。</w:t>
      </w:r>
    </w:p>
    <w:p w14:paraId="0DEB5BA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特此证明。</w:t>
      </w:r>
    </w:p>
    <w:p w14:paraId="04527E6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投标人：（加盖公章）日期： 年 月 日（附：法定代表人身份证复印件正反面）</w:t>
      </w:r>
    </w:p>
    <w:p w14:paraId="69EC1B07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四、授权委托书</w:t>
      </w:r>
    </w:p>
    <w:p w14:paraId="5E69AF4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致：武昌理工学院</w:t>
      </w:r>
    </w:p>
    <w:p w14:paraId="3E3F8EF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本人______（姓名）系________________________（投标人名称）的法定代表人，现授权______（姓名）为我方授权委托人，以我方名义参加</w:t>
      </w:r>
      <w:r>
        <w:rPr>
          <w:rStyle w:val="17"/>
          <w:rFonts w:hint="eastAsia" w:ascii="宋体" w:hAnsi="宋体" w:eastAsia="宋体" w:cs="宋体"/>
          <w:b/>
          <w:bCs/>
          <w:color w:val="1F2329"/>
          <w:kern w:val="0"/>
          <w:sz w:val="24"/>
          <w:szCs w:val="24"/>
          <w:lang w:val="en-US" w:eastAsia="zh-CN" w:bidi="ar"/>
        </w:rPr>
        <w:t xml:space="preserve">项目编号 </w:t>
      </w: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WCLG202601292850027</w:t>
      </w:r>
      <w:r>
        <w:rPr>
          <w:rFonts w:hint="eastAsia" w:ascii="宋体" w:hAnsi="宋体" w:eastAsia="宋体" w:cs="宋体"/>
          <w:b/>
          <w:bCs/>
          <w:color w:val="1F2329"/>
          <w:sz w:val="24"/>
          <w:szCs w:val="24"/>
        </w:rPr>
        <w:t>武昌理工学院</w:t>
      </w:r>
      <w:r>
        <w:rPr>
          <w:rFonts w:hint="eastAsia" w:ascii="宋体" w:hAnsi="宋体" w:eastAsia="宋体" w:cs="宋体"/>
          <w:b/>
          <w:bCs/>
          <w:color w:val="1F2329"/>
          <w:sz w:val="24"/>
          <w:szCs w:val="24"/>
          <w:lang w:val="en-US" w:eastAsia="zh-CN"/>
        </w:rPr>
        <w:t>单片机技术及应用实验室设备更新</w:t>
      </w:r>
      <w:r>
        <w:rPr>
          <w:rStyle w:val="17"/>
          <w:rFonts w:hint="eastAsia" w:ascii="宋体" w:hAnsi="宋体" w:eastAsia="宋体" w:cs="宋体"/>
          <w:b/>
          <w:bCs/>
          <w:color w:val="1F2329"/>
          <w:kern w:val="0"/>
          <w:sz w:val="24"/>
          <w:szCs w:val="24"/>
          <w:lang w:val="en-US" w:eastAsia="zh-CN" w:bidi="ar"/>
        </w:rPr>
        <w:t>项目</w:t>
      </w: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的投标、开标、评标、签约、履约等全部相关事宜，我方均予以认可并承担相应法律责任。</w:t>
      </w:r>
    </w:p>
    <w:p w14:paraId="07C599F2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授权委托人无转委托权。</w:t>
      </w:r>
    </w:p>
    <w:p w14:paraId="3494224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授权期限：自本委托书签署之日起至本项目投标有效期届满。</w:t>
      </w:r>
    </w:p>
    <w:p w14:paraId="3CBF2A9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法定代表人：（签字或盖章）授权委托人：（签字）投标人：（加盖公章）</w:t>
      </w:r>
    </w:p>
    <w:p w14:paraId="45FEA76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kern w:val="0"/>
          <w:sz w:val="24"/>
          <w:szCs w:val="24"/>
          <w:lang w:val="en-US" w:eastAsia="zh-CN" w:bidi="ar"/>
        </w:rPr>
        <w:t>日期： 年 月 日（附：授权委托人身份证复印件正反面）</w:t>
      </w:r>
    </w:p>
    <w:p w14:paraId="0455B6CF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五、资格证明材料清单</w:t>
      </w:r>
    </w:p>
    <w:p w14:paraId="2240CF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营业执照 / 事业单位法人证书复印件（加盖公章）；</w:t>
      </w:r>
    </w:p>
    <w:p w14:paraId="4E77FD0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近 3 年无重大违法经营记录的书面声明（格式自拟，加盖公章）；</w:t>
      </w:r>
    </w:p>
    <w:p w14:paraId="52E76D2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近 3 年本科院校单片机实验室项目业绩材料（合同复印件加盖公章）；</w:t>
      </w:r>
    </w:p>
    <w:p w14:paraId="2E1EB85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技术团队资质证明（项目负责人简历、团队成员证书等，加盖公章）。</w:t>
      </w:r>
    </w:p>
    <w:p w14:paraId="6A289371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六、技术响应文件</w:t>
      </w:r>
    </w:p>
    <w:p w14:paraId="227DBB7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技术方案（针对实验箱及模块的技术方案）；</w:t>
      </w:r>
    </w:p>
    <w:p w14:paraId="332C44D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技术需求响应表（按招标文件第通用需求逐条响应，标注 “完全响应”/“响应”，加盖公章）；</w:t>
      </w:r>
    </w:p>
    <w:p w14:paraId="441AF93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硬件设备配置清单及详细参数（加盖公章）；</w:t>
      </w:r>
    </w:p>
    <w:p w14:paraId="7F9978A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系统测试报告 / 性能证明材料（加盖公章）；</w:t>
      </w:r>
    </w:p>
    <w:p w14:paraId="6FB458E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投标人认为需要提供的其他技术材料。</w:t>
      </w:r>
    </w:p>
    <w:p w14:paraId="7999D63D">
      <w:pPr>
        <w:pStyle w:val="4"/>
        <w:keepNext w:val="0"/>
        <w:keepLines w:val="0"/>
        <w:pageBreakBefore w:val="0"/>
        <w:widowControl/>
        <w:numPr>
          <w:ilvl w:val="2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</w:rPr>
        <w:t>七、商务响应文件</w:t>
      </w:r>
    </w:p>
    <w:p w14:paraId="5F7B64D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报价一览表（含硬件、服务分项报价及总报价，加盖公章）；</w:t>
      </w:r>
    </w:p>
    <w:p w14:paraId="2BD620D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分项报价明细表（含产品名称、规格、数量、单价、总价、质保期，加盖公章）；</w:t>
      </w:r>
    </w:p>
    <w:p w14:paraId="0061553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售后服务方案（含安装调试、人员培训、质保服务、应急保障、技术支持等，加盖公章）；</w:t>
      </w:r>
    </w:p>
    <w:p w14:paraId="01D190E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项目实施计划（含进度安排、人员配置、交付时间，加盖公章）；</w:t>
      </w:r>
    </w:p>
    <w:p w14:paraId="1CE7810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商务条款响应表（按招标文件</w:t>
      </w: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第四章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主要条款逐条响应，标注 “完全响应”/“响应”，加盖公章）；</w:t>
      </w:r>
    </w:p>
    <w:p w14:paraId="232A8B2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left"/>
        <w:textAlignment w:val="auto"/>
        <w:rPr>
          <w:rFonts w:hint="eastAsia" w:ascii="宋体" w:hAnsi="宋体" w:eastAsia="宋体" w:cs="宋体"/>
          <w:color w:val="1F2329"/>
          <w:sz w:val="24"/>
          <w:szCs w:val="24"/>
        </w:rPr>
      </w:pPr>
      <w:r>
        <w:rPr>
          <w:rFonts w:hint="eastAsia" w:ascii="宋体" w:hAnsi="宋体" w:eastAsia="宋体" w:cs="宋体"/>
          <w:color w:val="1F2329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1F2329"/>
          <w:sz w:val="24"/>
          <w:szCs w:val="24"/>
        </w:rPr>
        <w:t>投标人认为需要提供的其他商务材料。</w:t>
      </w:r>
    </w:p>
    <w:p w14:paraId="5DB754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70512FA4">
      <w:pPr>
        <w:bidi w:val="0"/>
        <w:jc w:val="left"/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FE0E61"/>
    <w:multiLevelType w:val="multilevel"/>
    <w:tmpl w:val="FEFE0E6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5499CF2E"/>
    <w:multiLevelType w:val="singleLevel"/>
    <w:tmpl w:val="5499CF2E"/>
    <w:lvl w:ilvl="0" w:tentative="0">
      <w:start w:val="1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2">
    <w:nsid w:val="62972251"/>
    <w:multiLevelType w:val="multilevel"/>
    <w:tmpl w:val="62972251"/>
    <w:lvl w:ilvl="0" w:tentative="0">
      <w:start w:val="1"/>
      <w:numFmt w:val="decimal"/>
      <w:pStyle w:val="2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zMDlmMGQ1ODA5YTczOWRhOWYyNDVjYmE1NWVkZWMifQ=="/>
  </w:docVars>
  <w:rsids>
    <w:rsidRoot w:val="0D3B02BE"/>
    <w:rsid w:val="0000609E"/>
    <w:rsid w:val="00037701"/>
    <w:rsid w:val="0007325B"/>
    <w:rsid w:val="000B5A3D"/>
    <w:rsid w:val="00116FF9"/>
    <w:rsid w:val="0012183C"/>
    <w:rsid w:val="001310F0"/>
    <w:rsid w:val="00142C26"/>
    <w:rsid w:val="00181337"/>
    <w:rsid w:val="002477C3"/>
    <w:rsid w:val="002508D5"/>
    <w:rsid w:val="00291585"/>
    <w:rsid w:val="002B249D"/>
    <w:rsid w:val="002B5D9F"/>
    <w:rsid w:val="002E5385"/>
    <w:rsid w:val="00340BA1"/>
    <w:rsid w:val="00361191"/>
    <w:rsid w:val="00396416"/>
    <w:rsid w:val="003C0CE4"/>
    <w:rsid w:val="003C464B"/>
    <w:rsid w:val="004047BE"/>
    <w:rsid w:val="00431A7D"/>
    <w:rsid w:val="004650A0"/>
    <w:rsid w:val="004D4CBA"/>
    <w:rsid w:val="005322C3"/>
    <w:rsid w:val="005460B4"/>
    <w:rsid w:val="005624D4"/>
    <w:rsid w:val="00593490"/>
    <w:rsid w:val="005A48A0"/>
    <w:rsid w:val="005C4AAC"/>
    <w:rsid w:val="005D2CBE"/>
    <w:rsid w:val="00617BAD"/>
    <w:rsid w:val="00624FE5"/>
    <w:rsid w:val="00657C70"/>
    <w:rsid w:val="00697099"/>
    <w:rsid w:val="006E6049"/>
    <w:rsid w:val="0071418E"/>
    <w:rsid w:val="0073739D"/>
    <w:rsid w:val="008122A9"/>
    <w:rsid w:val="00884DF8"/>
    <w:rsid w:val="008C3965"/>
    <w:rsid w:val="009049D8"/>
    <w:rsid w:val="00910ECA"/>
    <w:rsid w:val="00931A7F"/>
    <w:rsid w:val="00936817"/>
    <w:rsid w:val="00944257"/>
    <w:rsid w:val="00962066"/>
    <w:rsid w:val="009744E1"/>
    <w:rsid w:val="00975F17"/>
    <w:rsid w:val="009C0B1D"/>
    <w:rsid w:val="00A5765D"/>
    <w:rsid w:val="00A748A2"/>
    <w:rsid w:val="00A80A7F"/>
    <w:rsid w:val="00A9112B"/>
    <w:rsid w:val="00AA7D94"/>
    <w:rsid w:val="00AD4853"/>
    <w:rsid w:val="00BA472D"/>
    <w:rsid w:val="00BE74D4"/>
    <w:rsid w:val="00C42A8A"/>
    <w:rsid w:val="00C50070"/>
    <w:rsid w:val="00C823A5"/>
    <w:rsid w:val="00C9426F"/>
    <w:rsid w:val="00CA7193"/>
    <w:rsid w:val="00D216CA"/>
    <w:rsid w:val="00D63D45"/>
    <w:rsid w:val="00DA1393"/>
    <w:rsid w:val="00DA25F7"/>
    <w:rsid w:val="00DA7F81"/>
    <w:rsid w:val="00DD0298"/>
    <w:rsid w:val="00E4114C"/>
    <w:rsid w:val="00E454C6"/>
    <w:rsid w:val="00EC0B0B"/>
    <w:rsid w:val="00EE3179"/>
    <w:rsid w:val="00F036C9"/>
    <w:rsid w:val="00F03C28"/>
    <w:rsid w:val="00F21771"/>
    <w:rsid w:val="00F42F53"/>
    <w:rsid w:val="00FA3551"/>
    <w:rsid w:val="00FC0DC3"/>
    <w:rsid w:val="011353FE"/>
    <w:rsid w:val="011473B7"/>
    <w:rsid w:val="0156177E"/>
    <w:rsid w:val="0159126E"/>
    <w:rsid w:val="01822573"/>
    <w:rsid w:val="01F571E8"/>
    <w:rsid w:val="0369145C"/>
    <w:rsid w:val="0451447E"/>
    <w:rsid w:val="04812FB5"/>
    <w:rsid w:val="04D8306E"/>
    <w:rsid w:val="05030073"/>
    <w:rsid w:val="050E236F"/>
    <w:rsid w:val="05834B0B"/>
    <w:rsid w:val="05D435B9"/>
    <w:rsid w:val="061F286D"/>
    <w:rsid w:val="07466F40"/>
    <w:rsid w:val="07BB058C"/>
    <w:rsid w:val="07FC6FE7"/>
    <w:rsid w:val="087D3A94"/>
    <w:rsid w:val="090221EB"/>
    <w:rsid w:val="092B1742"/>
    <w:rsid w:val="098C32E2"/>
    <w:rsid w:val="098D6BCE"/>
    <w:rsid w:val="0AA42C96"/>
    <w:rsid w:val="0ABA1880"/>
    <w:rsid w:val="0B38086C"/>
    <w:rsid w:val="0BA31A63"/>
    <w:rsid w:val="0BF40511"/>
    <w:rsid w:val="0C2801BA"/>
    <w:rsid w:val="0C463EB3"/>
    <w:rsid w:val="0C5032D6"/>
    <w:rsid w:val="0D3B02BE"/>
    <w:rsid w:val="0D4E68F8"/>
    <w:rsid w:val="0DCD1019"/>
    <w:rsid w:val="0F350CA2"/>
    <w:rsid w:val="0F8923B8"/>
    <w:rsid w:val="0FF94348"/>
    <w:rsid w:val="10150A56"/>
    <w:rsid w:val="104135F9"/>
    <w:rsid w:val="10E17C4C"/>
    <w:rsid w:val="111E1B8C"/>
    <w:rsid w:val="11B32F12"/>
    <w:rsid w:val="11E20E0C"/>
    <w:rsid w:val="12152F8F"/>
    <w:rsid w:val="12582E7C"/>
    <w:rsid w:val="12B91B6C"/>
    <w:rsid w:val="12FC7CAB"/>
    <w:rsid w:val="14160D45"/>
    <w:rsid w:val="1483634D"/>
    <w:rsid w:val="148461AA"/>
    <w:rsid w:val="14AB0D8C"/>
    <w:rsid w:val="14AE72C1"/>
    <w:rsid w:val="15355E06"/>
    <w:rsid w:val="15567B46"/>
    <w:rsid w:val="161D68B6"/>
    <w:rsid w:val="16832BBD"/>
    <w:rsid w:val="177E142A"/>
    <w:rsid w:val="179E3A27"/>
    <w:rsid w:val="17CF3BE0"/>
    <w:rsid w:val="17CF598E"/>
    <w:rsid w:val="18050FC2"/>
    <w:rsid w:val="184D312A"/>
    <w:rsid w:val="18634A4A"/>
    <w:rsid w:val="1901426D"/>
    <w:rsid w:val="19DD25E4"/>
    <w:rsid w:val="1A22449B"/>
    <w:rsid w:val="1A5C6C8B"/>
    <w:rsid w:val="1AA036A2"/>
    <w:rsid w:val="1AEE57C1"/>
    <w:rsid w:val="1B632FBD"/>
    <w:rsid w:val="1C880D75"/>
    <w:rsid w:val="1D4C6188"/>
    <w:rsid w:val="1DBE272D"/>
    <w:rsid w:val="1ECE3CF0"/>
    <w:rsid w:val="1EF775E2"/>
    <w:rsid w:val="1F1E21A6"/>
    <w:rsid w:val="1F6B081B"/>
    <w:rsid w:val="20743577"/>
    <w:rsid w:val="21364BF4"/>
    <w:rsid w:val="21444756"/>
    <w:rsid w:val="230E7CB2"/>
    <w:rsid w:val="237D428A"/>
    <w:rsid w:val="24A73F1B"/>
    <w:rsid w:val="24FD7FDE"/>
    <w:rsid w:val="251B113D"/>
    <w:rsid w:val="256718FC"/>
    <w:rsid w:val="25AF07EF"/>
    <w:rsid w:val="25E62821"/>
    <w:rsid w:val="26234FD6"/>
    <w:rsid w:val="26DE7C03"/>
    <w:rsid w:val="272D447F"/>
    <w:rsid w:val="272E2F71"/>
    <w:rsid w:val="27D1613F"/>
    <w:rsid w:val="283A32F8"/>
    <w:rsid w:val="286B1703"/>
    <w:rsid w:val="29C2551A"/>
    <w:rsid w:val="2A1A1965"/>
    <w:rsid w:val="2B5F0812"/>
    <w:rsid w:val="2B636AE4"/>
    <w:rsid w:val="2B7B7EAF"/>
    <w:rsid w:val="2BDA16F6"/>
    <w:rsid w:val="2C1E2368"/>
    <w:rsid w:val="2C3321FF"/>
    <w:rsid w:val="2C463E8D"/>
    <w:rsid w:val="2C9307A9"/>
    <w:rsid w:val="2CC719A5"/>
    <w:rsid w:val="2D7C1CBC"/>
    <w:rsid w:val="2DA51213"/>
    <w:rsid w:val="2ED0406E"/>
    <w:rsid w:val="2F797EF4"/>
    <w:rsid w:val="31490108"/>
    <w:rsid w:val="31503267"/>
    <w:rsid w:val="32C51A10"/>
    <w:rsid w:val="3328091C"/>
    <w:rsid w:val="33E17FE0"/>
    <w:rsid w:val="341D5002"/>
    <w:rsid w:val="34EF7F52"/>
    <w:rsid w:val="34F5633D"/>
    <w:rsid w:val="353F3D3D"/>
    <w:rsid w:val="35447564"/>
    <w:rsid w:val="35C3292D"/>
    <w:rsid w:val="35F76384"/>
    <w:rsid w:val="360311CD"/>
    <w:rsid w:val="36095B1A"/>
    <w:rsid w:val="365540DA"/>
    <w:rsid w:val="37061059"/>
    <w:rsid w:val="37955E55"/>
    <w:rsid w:val="37F63478"/>
    <w:rsid w:val="37FB2632"/>
    <w:rsid w:val="38003C16"/>
    <w:rsid w:val="39561614"/>
    <w:rsid w:val="399C171C"/>
    <w:rsid w:val="39FD525E"/>
    <w:rsid w:val="3A7A47BA"/>
    <w:rsid w:val="3ADF0BE2"/>
    <w:rsid w:val="3AEA295B"/>
    <w:rsid w:val="3AF630AE"/>
    <w:rsid w:val="3AFD268F"/>
    <w:rsid w:val="3BFC2AAE"/>
    <w:rsid w:val="3C413865"/>
    <w:rsid w:val="3CE05DC4"/>
    <w:rsid w:val="3D404AB5"/>
    <w:rsid w:val="3D89645B"/>
    <w:rsid w:val="3DA77DF7"/>
    <w:rsid w:val="3E612F34"/>
    <w:rsid w:val="3E950E30"/>
    <w:rsid w:val="3EB23790"/>
    <w:rsid w:val="3ED93797"/>
    <w:rsid w:val="3FD67CB5"/>
    <w:rsid w:val="3FEC6F92"/>
    <w:rsid w:val="40133775"/>
    <w:rsid w:val="40D21EC7"/>
    <w:rsid w:val="4109012B"/>
    <w:rsid w:val="419135FB"/>
    <w:rsid w:val="42B048EA"/>
    <w:rsid w:val="42F04887"/>
    <w:rsid w:val="435C016E"/>
    <w:rsid w:val="43A04D63"/>
    <w:rsid w:val="44897E53"/>
    <w:rsid w:val="44AB283B"/>
    <w:rsid w:val="476D0B1E"/>
    <w:rsid w:val="47E801F9"/>
    <w:rsid w:val="48A671DD"/>
    <w:rsid w:val="48F80A21"/>
    <w:rsid w:val="491D3EFC"/>
    <w:rsid w:val="49AD5280"/>
    <w:rsid w:val="49F42EAF"/>
    <w:rsid w:val="4A02381D"/>
    <w:rsid w:val="4A1C2405"/>
    <w:rsid w:val="4AB10DA0"/>
    <w:rsid w:val="4ABA5EA6"/>
    <w:rsid w:val="4AD131F0"/>
    <w:rsid w:val="4B043FA0"/>
    <w:rsid w:val="4B787B7A"/>
    <w:rsid w:val="4BA426B2"/>
    <w:rsid w:val="4CA42662"/>
    <w:rsid w:val="4D357A66"/>
    <w:rsid w:val="4E5403C0"/>
    <w:rsid w:val="4E946A0E"/>
    <w:rsid w:val="4EAB2CFB"/>
    <w:rsid w:val="4EC83F0A"/>
    <w:rsid w:val="4F710AFD"/>
    <w:rsid w:val="4F742CD2"/>
    <w:rsid w:val="4FCE41A2"/>
    <w:rsid w:val="4FF82FCD"/>
    <w:rsid w:val="5119144D"/>
    <w:rsid w:val="51E118D5"/>
    <w:rsid w:val="52A64E1D"/>
    <w:rsid w:val="52BE04FE"/>
    <w:rsid w:val="52F42171"/>
    <w:rsid w:val="53E06252"/>
    <w:rsid w:val="54083B29"/>
    <w:rsid w:val="546F5D0A"/>
    <w:rsid w:val="54E3249D"/>
    <w:rsid w:val="567A298E"/>
    <w:rsid w:val="5AAE0E58"/>
    <w:rsid w:val="5B51075A"/>
    <w:rsid w:val="5D9B1B67"/>
    <w:rsid w:val="5E3941D5"/>
    <w:rsid w:val="5EC62C14"/>
    <w:rsid w:val="5F013C4C"/>
    <w:rsid w:val="5F2636B2"/>
    <w:rsid w:val="5F3076F7"/>
    <w:rsid w:val="5F541C65"/>
    <w:rsid w:val="5FC52ECB"/>
    <w:rsid w:val="609B3C2C"/>
    <w:rsid w:val="60F35816"/>
    <w:rsid w:val="6129748A"/>
    <w:rsid w:val="614B11AE"/>
    <w:rsid w:val="61C406ED"/>
    <w:rsid w:val="623E6F65"/>
    <w:rsid w:val="62A05D75"/>
    <w:rsid w:val="636F2B71"/>
    <w:rsid w:val="63D86F45"/>
    <w:rsid w:val="64A157A2"/>
    <w:rsid w:val="651022D2"/>
    <w:rsid w:val="66231DE7"/>
    <w:rsid w:val="663366B5"/>
    <w:rsid w:val="67080599"/>
    <w:rsid w:val="67E87C4D"/>
    <w:rsid w:val="67EC4599"/>
    <w:rsid w:val="686314D3"/>
    <w:rsid w:val="68D72CD8"/>
    <w:rsid w:val="690D1FAD"/>
    <w:rsid w:val="692634D6"/>
    <w:rsid w:val="69B54BAC"/>
    <w:rsid w:val="6AD15594"/>
    <w:rsid w:val="6AF1726A"/>
    <w:rsid w:val="6BC86C48"/>
    <w:rsid w:val="6BD91AAD"/>
    <w:rsid w:val="6D0F2BFF"/>
    <w:rsid w:val="6D4B0788"/>
    <w:rsid w:val="6E1B63AC"/>
    <w:rsid w:val="6ED62013"/>
    <w:rsid w:val="6F6E0144"/>
    <w:rsid w:val="6F885CC3"/>
    <w:rsid w:val="6FDA1EBA"/>
    <w:rsid w:val="7073427E"/>
    <w:rsid w:val="70A14FBE"/>
    <w:rsid w:val="71B907A1"/>
    <w:rsid w:val="71C72AD3"/>
    <w:rsid w:val="721970A7"/>
    <w:rsid w:val="728F09A6"/>
    <w:rsid w:val="72ED20E1"/>
    <w:rsid w:val="73A86934"/>
    <w:rsid w:val="73B164C8"/>
    <w:rsid w:val="73F50129"/>
    <w:rsid w:val="741E09A4"/>
    <w:rsid w:val="74573825"/>
    <w:rsid w:val="74F54A7B"/>
    <w:rsid w:val="74FF07D6"/>
    <w:rsid w:val="759F2AC0"/>
    <w:rsid w:val="75D56935"/>
    <w:rsid w:val="75FB0F9D"/>
    <w:rsid w:val="76E464AA"/>
    <w:rsid w:val="77534D71"/>
    <w:rsid w:val="77DE75A0"/>
    <w:rsid w:val="78743289"/>
    <w:rsid w:val="78801C2E"/>
    <w:rsid w:val="79442C5B"/>
    <w:rsid w:val="79E65AC0"/>
    <w:rsid w:val="79EB2C90"/>
    <w:rsid w:val="79F3642F"/>
    <w:rsid w:val="7A747570"/>
    <w:rsid w:val="7ABA4E0D"/>
    <w:rsid w:val="7AEE3FD4"/>
    <w:rsid w:val="7B351444"/>
    <w:rsid w:val="7B8A0671"/>
    <w:rsid w:val="7BAA6F0B"/>
    <w:rsid w:val="7BAE5BED"/>
    <w:rsid w:val="7C156B31"/>
    <w:rsid w:val="7C784DF0"/>
    <w:rsid w:val="7C962348"/>
    <w:rsid w:val="7CF64A7E"/>
    <w:rsid w:val="7CF77B69"/>
    <w:rsid w:val="7D320E02"/>
    <w:rsid w:val="7D840DE3"/>
    <w:rsid w:val="7E040C0B"/>
    <w:rsid w:val="7E2D1F10"/>
    <w:rsid w:val="7E9C7095"/>
    <w:rsid w:val="7EDE768E"/>
    <w:rsid w:val="7F73429A"/>
    <w:rsid w:val="7F820039"/>
    <w:rsid w:val="7FB6EDA1"/>
    <w:rsid w:val="7FB72854"/>
    <w:rsid w:val="DFADD01C"/>
    <w:rsid w:val="F6BF1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numPr>
        <w:ilvl w:val="2"/>
        <w:numId w:val="2"/>
      </w:numPr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  <w:sz w:val="32"/>
    </w:rPr>
  </w:style>
  <w:style w:type="paragraph" w:styleId="5">
    <w:name w:val="heading 4"/>
    <w:basedOn w:val="1"/>
    <w:next w:val="1"/>
    <w:autoRedefine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next w:val="7"/>
    <w:autoRedefine/>
    <w:unhideWhenUsed/>
    <w:qFormat/>
    <w:uiPriority w:val="99"/>
    <w:pPr>
      <w:jc w:val="center"/>
    </w:pPr>
    <w:rPr>
      <w:rFonts w:ascii="Times New Roman" w:hAnsi="Times New Roman"/>
      <w:sz w:val="24"/>
    </w:rPr>
  </w:style>
  <w:style w:type="paragraph" w:styleId="7">
    <w:name w:val="header"/>
    <w:basedOn w:val="1"/>
    <w:next w:val="8"/>
    <w:link w:val="2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Quote"/>
    <w:basedOn w:val="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i/>
    </w:rPr>
  </w:style>
  <w:style w:type="paragraph" w:styleId="9">
    <w:name w:val="Balloon Text"/>
    <w:basedOn w:val="1"/>
    <w:link w:val="27"/>
    <w:autoRedefine/>
    <w:qFormat/>
    <w:uiPriority w:val="0"/>
    <w:rPr>
      <w:sz w:val="18"/>
      <w:szCs w:val="18"/>
    </w:rPr>
  </w:style>
  <w:style w:type="paragraph" w:styleId="10">
    <w:name w:val="footer"/>
    <w:basedOn w:val="1"/>
    <w:link w:val="2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Body Text 2"/>
    <w:basedOn w:val="1"/>
    <w:autoRedefine/>
    <w:qFormat/>
    <w:uiPriority w:val="0"/>
    <w:pPr>
      <w:suppressAutoHyphens/>
      <w:jc w:val="left"/>
    </w:pPr>
    <w:rPr>
      <w:rFonts w:ascii="Calibri" w:hAnsi="Calibri"/>
      <w:color w:val="000000"/>
      <w:sz w:val="28"/>
      <w:szCs w:val="28"/>
    </w:rPr>
  </w:style>
  <w:style w:type="paragraph" w:styleId="12">
    <w:name w:val="Normal (Web)"/>
    <w:basedOn w:val="1"/>
    <w:semiHidden/>
    <w:unhideWhenUsed/>
    <w:uiPriority w:val="0"/>
    <w:rPr>
      <w:sz w:val="24"/>
    </w:rPr>
  </w:style>
  <w:style w:type="paragraph" w:styleId="13">
    <w:name w:val="Body Text First Indent"/>
    <w:basedOn w:val="6"/>
    <w:autoRedefine/>
    <w:qFormat/>
    <w:uiPriority w:val="0"/>
    <w:pPr>
      <w:spacing w:line="360" w:lineRule="auto"/>
      <w:ind w:firstLine="976" w:firstLineChars="200"/>
    </w:pPr>
    <w:rPr>
      <w:kern w:val="0"/>
      <w:sz w:val="28"/>
      <w:szCs w:val="28"/>
    </w:rPr>
  </w:style>
  <w:style w:type="table" w:styleId="15">
    <w:name w:val="Table Grid"/>
    <w:basedOn w:val="14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Hyperlink"/>
    <w:basedOn w:val="16"/>
    <w:autoRedefine/>
    <w:qFormat/>
    <w:uiPriority w:val="0"/>
    <w:rPr>
      <w:color w:val="0000FF"/>
      <w:u w:val="single"/>
    </w:rPr>
  </w:style>
  <w:style w:type="paragraph" w:customStyle="1" w:styleId="19">
    <w:name w:val="样式 10 磅13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0">
    <w:name w:val="列表段落1"/>
    <w:basedOn w:val="1"/>
    <w:autoRedefine/>
    <w:qFormat/>
    <w:uiPriority w:val="0"/>
    <w:pPr>
      <w:spacing w:line="360" w:lineRule="auto"/>
      <w:ind w:firstLine="420" w:firstLineChars="200"/>
    </w:pPr>
    <w:rPr>
      <w:sz w:val="24"/>
    </w:rPr>
  </w:style>
  <w:style w:type="paragraph" w:customStyle="1" w:styleId="21">
    <w:name w:val="*正文"/>
    <w:basedOn w:val="1"/>
    <w:autoRedefine/>
    <w:qFormat/>
    <w:uiPriority w:val="0"/>
    <w:pPr>
      <w:spacing w:line="480" w:lineRule="exact"/>
      <w:ind w:firstLine="200" w:firstLineChars="200"/>
    </w:pPr>
    <w:rPr>
      <w:rFonts w:ascii="宋体" w:hAnsi="宋体"/>
      <w:kern w:val="0"/>
      <w:sz w:val="28"/>
      <w:szCs w:val="24"/>
      <w:lang w:val="zh-CN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24">
    <w:name w:val="List Paragraph"/>
    <w:basedOn w:val="1"/>
    <w:autoRedefine/>
    <w:qFormat/>
    <w:uiPriority w:val="34"/>
    <w:pPr>
      <w:widowControl/>
      <w:spacing w:after="160" w:line="259" w:lineRule="auto"/>
      <w:ind w:firstLine="420" w:firstLineChars="200"/>
      <w:jc w:val="left"/>
    </w:pPr>
    <w:rPr>
      <w:rFonts w:asciiTheme="minorHAnsi" w:hAnsiTheme="minorHAnsi" w:eastAsiaTheme="minorEastAsia" w:cstheme="minorBidi"/>
      <w:kern w:val="0"/>
      <w:sz w:val="22"/>
    </w:rPr>
  </w:style>
  <w:style w:type="character" w:customStyle="1" w:styleId="25">
    <w:name w:val="页眉 Char"/>
    <w:basedOn w:val="16"/>
    <w:link w:val="7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6">
    <w:name w:val="页脚 Char"/>
    <w:basedOn w:val="16"/>
    <w:link w:val="10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7">
    <w:name w:val="批注框文本 Char"/>
    <w:basedOn w:val="16"/>
    <w:link w:val="9"/>
    <w:autoRedefine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1407</Words>
  <Characters>1522</Characters>
  <Lines>24</Lines>
  <Paragraphs>6</Paragraphs>
  <TotalTime>121</TotalTime>
  <ScaleCrop>false</ScaleCrop>
  <LinksUpToDate>false</LinksUpToDate>
  <CharactersWithSpaces>1590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2023-04-27T00:21:00Z</dcterms:created>
  <dc:creator>三十而立</dc:creator>
  <cp:lastModifiedBy>唐穗欣</cp:lastModifiedBy>
  <cp:lastPrinted>2022-06-07T09:41:00Z</cp:lastPrinted>
  <dcterms:modified xsi:type="dcterms:W3CDTF">2026-04-10T09:15:34Z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B9ED22D63A1241FAB9DE2ACF210BB963_13</vt:lpwstr>
  </property>
  <property fmtid="{D5CDD505-2E9C-101B-9397-08002B2CF9AE}" pid="4" name="KSOTemplateDocerSaveRecord">
    <vt:lpwstr>eyJoZGlkIjoiZDJiY2RiOTBkYTAxZjdkZWZiNGZlMmU1MDA5ZDUzNWMiLCJ1c2VySWQiOiIzNjA2OTk3NzgifQ==</vt:lpwstr>
  </property>
</Properties>
</file>